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9C" w:rsidRPr="005830CE" w:rsidRDefault="0000119C" w:rsidP="0000119C"/>
    <w:p w:rsidR="0000119C" w:rsidRPr="005830CE" w:rsidRDefault="0000119C" w:rsidP="0000119C"/>
    <w:p w:rsidR="0000119C" w:rsidRPr="005830CE" w:rsidRDefault="0000119C" w:rsidP="0000119C"/>
    <w:p w:rsidR="0000119C" w:rsidRPr="005830CE" w:rsidRDefault="0000119C" w:rsidP="0000119C">
      <w:r w:rsidRPr="005830CE">
        <w:rPr>
          <w:b/>
          <w:noProof/>
          <w:lang w:eastAsia="en-GB"/>
        </w:rPr>
        <w:drawing>
          <wp:inline distT="0" distB="0" distL="0" distR="0" wp14:anchorId="57A0A77E" wp14:editId="49466291">
            <wp:extent cx="5534025" cy="3352800"/>
            <wp:effectExtent l="0" t="0" r="9525" b="0"/>
            <wp:docPr id="1" name="Picture 1" descr="\\scotland.gov.uk\dc1\fs4_home\U445630\SC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1\fs4_home\U445630\SCSS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4025" cy="3352800"/>
                    </a:xfrm>
                    <a:prstGeom prst="rect">
                      <a:avLst/>
                    </a:prstGeom>
                    <a:noFill/>
                    <a:ln>
                      <a:noFill/>
                    </a:ln>
                  </pic:spPr>
                </pic:pic>
              </a:graphicData>
            </a:graphic>
          </wp:inline>
        </w:drawing>
      </w:r>
    </w:p>
    <w:p w:rsidR="0000119C" w:rsidRPr="005830CE" w:rsidRDefault="0000119C" w:rsidP="0000119C">
      <w:pPr>
        <w:rPr>
          <w:b/>
          <w:sz w:val="44"/>
          <w:szCs w:val="44"/>
        </w:rPr>
      </w:pPr>
      <w:r w:rsidRPr="005830CE">
        <w:rPr>
          <w:b/>
          <w:sz w:val="44"/>
          <w:szCs w:val="44"/>
        </w:rPr>
        <w:t>Scottish Commission on Social Security</w:t>
      </w:r>
    </w:p>
    <w:p w:rsidR="0000119C" w:rsidRPr="005830CE" w:rsidRDefault="0000119C" w:rsidP="0000119C"/>
    <w:p w:rsidR="0000119C" w:rsidRPr="005830CE" w:rsidRDefault="0000119C" w:rsidP="0000119C"/>
    <w:p w:rsidR="0000119C" w:rsidRPr="005830CE" w:rsidRDefault="0000119C" w:rsidP="0000119C">
      <w:pPr>
        <w:rPr>
          <w:b/>
          <w:sz w:val="36"/>
          <w:szCs w:val="36"/>
        </w:rPr>
      </w:pPr>
      <w:r w:rsidRPr="005830CE">
        <w:rPr>
          <w:b/>
          <w:sz w:val="36"/>
          <w:szCs w:val="36"/>
        </w:rPr>
        <w:t>Further scrutiny report on draft regulations:</w:t>
      </w:r>
    </w:p>
    <w:p w:rsidR="0000119C" w:rsidRPr="005830CE" w:rsidRDefault="0000119C" w:rsidP="0000119C">
      <w:pPr>
        <w:rPr>
          <w:b/>
          <w:sz w:val="56"/>
          <w:szCs w:val="56"/>
        </w:rPr>
      </w:pPr>
      <w:r w:rsidRPr="005830CE">
        <w:rPr>
          <w:b/>
          <w:sz w:val="56"/>
          <w:szCs w:val="56"/>
        </w:rPr>
        <w:t>The Disability Assistance for Children and Young People (Scotland) Regulations</w:t>
      </w:r>
    </w:p>
    <w:p w:rsidR="0000119C" w:rsidRPr="005830CE" w:rsidRDefault="0000119C" w:rsidP="0000119C">
      <w:pPr>
        <w:rPr>
          <w:b/>
          <w:sz w:val="56"/>
          <w:szCs w:val="56"/>
        </w:rPr>
      </w:pPr>
    </w:p>
    <w:p w:rsidR="0000119C" w:rsidRPr="005830CE" w:rsidRDefault="0000119C" w:rsidP="0000119C"/>
    <w:p w:rsidR="0000119C" w:rsidRPr="005830CE" w:rsidRDefault="0000119C" w:rsidP="0000119C"/>
    <w:p w:rsidR="0000119C" w:rsidRPr="005830CE" w:rsidRDefault="0000119C" w:rsidP="0000119C"/>
    <w:p w:rsidR="0000119C" w:rsidRPr="005830CE" w:rsidRDefault="0000119C" w:rsidP="0000119C">
      <w:pPr>
        <w:rPr>
          <w:b/>
        </w:rPr>
      </w:pPr>
      <w:r w:rsidRPr="005830CE">
        <w:rPr>
          <w:b/>
        </w:rPr>
        <w:t xml:space="preserve">Submitted to the Scottish Government and the Scottish Parliament’s Social Security Committee on </w:t>
      </w:r>
      <w:r w:rsidR="002A7FFA">
        <w:rPr>
          <w:b/>
        </w:rPr>
        <w:t>17</w:t>
      </w:r>
      <w:r w:rsidRPr="00FC3945">
        <w:rPr>
          <w:b/>
        </w:rPr>
        <w:t xml:space="preserve"> December</w:t>
      </w:r>
      <w:r w:rsidRPr="005830CE">
        <w:rPr>
          <w:b/>
        </w:rPr>
        <w:t xml:space="preserve"> 2020. </w:t>
      </w:r>
    </w:p>
    <w:p w:rsidR="0000119C" w:rsidRPr="005830CE" w:rsidRDefault="0000119C" w:rsidP="0000119C">
      <w:pPr>
        <w:rPr>
          <w:b/>
          <w:sz w:val="32"/>
        </w:rPr>
      </w:pPr>
    </w:p>
    <w:p w:rsidR="0000119C" w:rsidRPr="005830CE" w:rsidRDefault="0000119C">
      <w:pPr>
        <w:autoSpaceDE/>
        <w:autoSpaceDN/>
        <w:adjustRightInd/>
        <w:spacing w:after="160" w:line="259" w:lineRule="auto"/>
        <w:rPr>
          <w:b/>
          <w:sz w:val="32"/>
        </w:rPr>
      </w:pPr>
      <w:r w:rsidRPr="005830CE">
        <w:rPr>
          <w:b/>
          <w:sz w:val="32"/>
        </w:rPr>
        <w:br w:type="page"/>
      </w:r>
    </w:p>
    <w:p w:rsidR="0000119C" w:rsidRDefault="0000119C" w:rsidP="0000119C">
      <w:pPr>
        <w:rPr>
          <w:b/>
          <w:sz w:val="32"/>
        </w:rPr>
      </w:pPr>
      <w:r w:rsidRPr="005830CE">
        <w:rPr>
          <w:b/>
          <w:sz w:val="32"/>
        </w:rPr>
        <w:lastRenderedPageBreak/>
        <w:t>Contents</w:t>
      </w:r>
    </w:p>
    <w:p w:rsidR="002A7FFA" w:rsidRPr="005830CE" w:rsidRDefault="002A7FFA" w:rsidP="0000119C">
      <w:pPr>
        <w:rPr>
          <w:b/>
          <w:sz w:val="32"/>
        </w:rPr>
      </w:pPr>
    </w:p>
    <w:p w:rsidR="002A7FFA" w:rsidRDefault="0000119C">
      <w:pPr>
        <w:pStyle w:val="TOC1"/>
        <w:tabs>
          <w:tab w:val="right" w:leader="dot" w:pos="9016"/>
        </w:tabs>
        <w:rPr>
          <w:rFonts w:asciiTheme="minorHAnsi" w:eastAsiaTheme="minorEastAsia" w:hAnsiTheme="minorHAnsi" w:cstheme="minorBidi"/>
          <w:noProof/>
          <w:sz w:val="22"/>
          <w:szCs w:val="22"/>
          <w:lang w:eastAsia="en-GB"/>
        </w:rPr>
      </w:pPr>
      <w:r w:rsidRPr="005830CE">
        <w:rPr>
          <w:rFonts w:cs="Arial"/>
          <w:b/>
          <w:bCs/>
          <w:noProof/>
        </w:rPr>
        <w:fldChar w:fldCharType="begin"/>
      </w:r>
      <w:r w:rsidRPr="005830CE">
        <w:rPr>
          <w:rFonts w:cs="Arial"/>
          <w:b/>
          <w:bCs/>
          <w:noProof/>
        </w:rPr>
        <w:instrText xml:space="preserve"> TOC \o "1-3" \f \h \z \t "Style1,1,Style2,2" </w:instrText>
      </w:r>
      <w:r w:rsidRPr="005830CE">
        <w:rPr>
          <w:rFonts w:cs="Arial"/>
          <w:b/>
          <w:bCs/>
          <w:noProof/>
        </w:rPr>
        <w:fldChar w:fldCharType="separate"/>
      </w:r>
      <w:hyperlink w:anchor="_Toc59010229" w:history="1">
        <w:r w:rsidR="002A7FFA" w:rsidRPr="006D0894">
          <w:rPr>
            <w:rStyle w:val="Hyperlink"/>
            <w:rFonts w:cs="Arial"/>
            <w:b/>
            <w:noProof/>
          </w:rPr>
          <w:t>Summary of recommendations and observat</w:t>
        </w:r>
        <w:r w:rsidR="002A7FFA" w:rsidRPr="006D0894">
          <w:rPr>
            <w:rStyle w:val="Hyperlink"/>
            <w:rFonts w:cs="Arial"/>
            <w:b/>
            <w:noProof/>
          </w:rPr>
          <w:t>i</w:t>
        </w:r>
        <w:r w:rsidR="002A7FFA" w:rsidRPr="006D0894">
          <w:rPr>
            <w:rStyle w:val="Hyperlink"/>
            <w:rFonts w:cs="Arial"/>
            <w:b/>
            <w:noProof/>
          </w:rPr>
          <w:t>o</w:t>
        </w:r>
        <w:r w:rsidR="002A7FFA" w:rsidRPr="006D0894">
          <w:rPr>
            <w:rStyle w:val="Hyperlink"/>
            <w:rFonts w:cs="Arial"/>
            <w:b/>
            <w:noProof/>
          </w:rPr>
          <w:t>ns</w:t>
        </w:r>
        <w:r w:rsidR="002A7FFA">
          <w:rPr>
            <w:noProof/>
            <w:webHidden/>
          </w:rPr>
          <w:tab/>
        </w:r>
        <w:r w:rsidR="002A7FFA">
          <w:rPr>
            <w:noProof/>
            <w:webHidden/>
          </w:rPr>
          <w:fldChar w:fldCharType="begin"/>
        </w:r>
        <w:r w:rsidR="002A7FFA">
          <w:rPr>
            <w:noProof/>
            <w:webHidden/>
          </w:rPr>
          <w:instrText xml:space="preserve"> PAGEREF _Toc59010229 \h </w:instrText>
        </w:r>
        <w:r w:rsidR="002A7FFA">
          <w:rPr>
            <w:noProof/>
            <w:webHidden/>
          </w:rPr>
        </w:r>
        <w:r w:rsidR="002A7FFA">
          <w:rPr>
            <w:noProof/>
            <w:webHidden/>
          </w:rPr>
          <w:fldChar w:fldCharType="separate"/>
        </w:r>
        <w:r w:rsidR="002A7FFA">
          <w:rPr>
            <w:noProof/>
            <w:webHidden/>
          </w:rPr>
          <w:t>3</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30" w:history="1">
        <w:r w:rsidR="002A7FFA" w:rsidRPr="006D0894">
          <w:rPr>
            <w:rStyle w:val="Hyperlink"/>
            <w:rFonts w:cs="Arial"/>
            <w:b/>
            <w:noProof/>
          </w:rPr>
          <w:t>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Introductio</w:t>
        </w:r>
        <w:r w:rsidR="002A7FFA" w:rsidRPr="006D0894">
          <w:rPr>
            <w:rStyle w:val="Hyperlink"/>
            <w:rFonts w:cs="Arial"/>
            <w:b/>
            <w:noProof/>
          </w:rPr>
          <w:t>n</w:t>
        </w:r>
        <w:r w:rsidR="002A7FFA">
          <w:rPr>
            <w:noProof/>
            <w:webHidden/>
          </w:rPr>
          <w:tab/>
        </w:r>
        <w:r w:rsidR="002A7FFA">
          <w:rPr>
            <w:noProof/>
            <w:webHidden/>
          </w:rPr>
          <w:fldChar w:fldCharType="begin"/>
        </w:r>
        <w:r w:rsidR="002A7FFA">
          <w:rPr>
            <w:noProof/>
            <w:webHidden/>
          </w:rPr>
          <w:instrText xml:space="preserve"> PAGEREF _Toc59010230 \h </w:instrText>
        </w:r>
        <w:r w:rsidR="002A7FFA">
          <w:rPr>
            <w:noProof/>
            <w:webHidden/>
          </w:rPr>
        </w:r>
        <w:r w:rsidR="002A7FFA">
          <w:rPr>
            <w:noProof/>
            <w:webHidden/>
          </w:rPr>
          <w:fldChar w:fldCharType="separate"/>
        </w:r>
        <w:r w:rsidR="002A7FFA">
          <w:rPr>
            <w:noProof/>
            <w:webHidden/>
          </w:rPr>
          <w:t>6</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1" w:history="1">
        <w:r w:rsidR="002A7FFA" w:rsidRPr="006D0894">
          <w:rPr>
            <w:rStyle w:val="Hyperlink"/>
            <w:rFonts w:cs="Arial"/>
            <w:b/>
            <w:noProof/>
          </w:rPr>
          <w:t>1.1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Overview</w:t>
        </w:r>
        <w:r w:rsidR="002A7FFA">
          <w:rPr>
            <w:noProof/>
            <w:webHidden/>
          </w:rPr>
          <w:tab/>
        </w:r>
        <w:r w:rsidR="002A7FFA">
          <w:rPr>
            <w:noProof/>
            <w:webHidden/>
          </w:rPr>
          <w:fldChar w:fldCharType="begin"/>
        </w:r>
        <w:r w:rsidR="002A7FFA">
          <w:rPr>
            <w:noProof/>
            <w:webHidden/>
          </w:rPr>
          <w:instrText xml:space="preserve"> PAGEREF _Toc59010231 \h </w:instrText>
        </w:r>
        <w:r w:rsidR="002A7FFA">
          <w:rPr>
            <w:noProof/>
            <w:webHidden/>
          </w:rPr>
        </w:r>
        <w:r w:rsidR="002A7FFA">
          <w:rPr>
            <w:noProof/>
            <w:webHidden/>
          </w:rPr>
          <w:fldChar w:fldCharType="separate"/>
        </w:r>
        <w:r w:rsidR="002A7FFA">
          <w:rPr>
            <w:noProof/>
            <w:webHidden/>
          </w:rPr>
          <w:t>6</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32" w:history="1">
        <w:r w:rsidR="002A7FFA" w:rsidRPr="006D0894">
          <w:rPr>
            <w:rStyle w:val="Hyperlink"/>
            <w:rFonts w:cs="Arial"/>
            <w:b/>
            <w:noProof/>
          </w:rPr>
          <w:t>2.</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Requesting and making re-determinations</w:t>
        </w:r>
        <w:r w:rsidR="002A7FFA">
          <w:rPr>
            <w:noProof/>
            <w:webHidden/>
          </w:rPr>
          <w:tab/>
        </w:r>
        <w:r w:rsidR="002A7FFA">
          <w:rPr>
            <w:noProof/>
            <w:webHidden/>
          </w:rPr>
          <w:fldChar w:fldCharType="begin"/>
        </w:r>
        <w:r w:rsidR="002A7FFA">
          <w:rPr>
            <w:noProof/>
            <w:webHidden/>
          </w:rPr>
          <w:instrText xml:space="preserve"> PAGEREF _Toc59010232 \h </w:instrText>
        </w:r>
        <w:r w:rsidR="002A7FFA">
          <w:rPr>
            <w:noProof/>
            <w:webHidden/>
          </w:rPr>
        </w:r>
        <w:r w:rsidR="002A7FFA">
          <w:rPr>
            <w:noProof/>
            <w:webHidden/>
          </w:rPr>
          <w:fldChar w:fldCharType="separate"/>
        </w:r>
        <w:r w:rsidR="002A7FFA">
          <w:rPr>
            <w:noProof/>
            <w:webHidden/>
          </w:rPr>
          <w:t>7</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3" w:history="1">
        <w:r w:rsidR="002A7FFA" w:rsidRPr="006D0894">
          <w:rPr>
            <w:rStyle w:val="Hyperlink"/>
            <w:rFonts w:cs="Arial"/>
            <w:b/>
            <w:noProof/>
          </w:rPr>
          <w:t>2.1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Time limits for requesting and making re-determinations</w:t>
        </w:r>
        <w:r w:rsidR="002A7FFA">
          <w:rPr>
            <w:noProof/>
            <w:webHidden/>
          </w:rPr>
          <w:tab/>
        </w:r>
        <w:r w:rsidR="002A7FFA">
          <w:rPr>
            <w:noProof/>
            <w:webHidden/>
          </w:rPr>
          <w:fldChar w:fldCharType="begin"/>
        </w:r>
        <w:r w:rsidR="002A7FFA">
          <w:rPr>
            <w:noProof/>
            <w:webHidden/>
          </w:rPr>
          <w:instrText xml:space="preserve"> PAGEREF _Toc59010233 \h </w:instrText>
        </w:r>
        <w:r w:rsidR="002A7FFA">
          <w:rPr>
            <w:noProof/>
            <w:webHidden/>
          </w:rPr>
        </w:r>
        <w:r w:rsidR="002A7FFA">
          <w:rPr>
            <w:noProof/>
            <w:webHidden/>
          </w:rPr>
          <w:fldChar w:fldCharType="separate"/>
        </w:r>
        <w:r w:rsidR="002A7FFA">
          <w:rPr>
            <w:noProof/>
            <w:webHidden/>
          </w:rPr>
          <w:t>7</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34" w:history="1">
        <w:r w:rsidR="002A7FFA" w:rsidRPr="006D0894">
          <w:rPr>
            <w:rStyle w:val="Hyperlink"/>
            <w:rFonts w:cs="Arial"/>
            <w:b/>
            <w:noProof/>
          </w:rPr>
          <w:t>3.</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Mobility component</w:t>
        </w:r>
        <w:r w:rsidR="002A7FFA">
          <w:rPr>
            <w:noProof/>
            <w:webHidden/>
          </w:rPr>
          <w:tab/>
        </w:r>
        <w:r w:rsidR="002A7FFA">
          <w:rPr>
            <w:noProof/>
            <w:webHidden/>
          </w:rPr>
          <w:fldChar w:fldCharType="begin"/>
        </w:r>
        <w:r w:rsidR="002A7FFA">
          <w:rPr>
            <w:noProof/>
            <w:webHidden/>
          </w:rPr>
          <w:instrText xml:space="preserve"> PAGEREF _Toc59010234 \h </w:instrText>
        </w:r>
        <w:r w:rsidR="002A7FFA">
          <w:rPr>
            <w:noProof/>
            <w:webHidden/>
          </w:rPr>
        </w:r>
        <w:r w:rsidR="002A7FFA">
          <w:rPr>
            <w:noProof/>
            <w:webHidden/>
          </w:rPr>
          <w:fldChar w:fldCharType="separate"/>
        </w:r>
        <w:r w:rsidR="002A7FFA">
          <w:rPr>
            <w:noProof/>
            <w:webHidden/>
          </w:rPr>
          <w:t>8</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5" w:history="1">
        <w:r w:rsidR="002A7FFA" w:rsidRPr="006D0894">
          <w:rPr>
            <w:rStyle w:val="Hyperlink"/>
            <w:rFonts w:cs="Arial"/>
            <w:b/>
            <w:noProof/>
          </w:rPr>
          <w:t>3.1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Severe visual impairment route to higher rate mobility</w:t>
        </w:r>
        <w:r w:rsidR="002A7FFA">
          <w:rPr>
            <w:noProof/>
            <w:webHidden/>
          </w:rPr>
          <w:tab/>
        </w:r>
        <w:r w:rsidR="002A7FFA">
          <w:rPr>
            <w:noProof/>
            <w:webHidden/>
          </w:rPr>
          <w:fldChar w:fldCharType="begin"/>
        </w:r>
        <w:r w:rsidR="002A7FFA">
          <w:rPr>
            <w:noProof/>
            <w:webHidden/>
          </w:rPr>
          <w:instrText xml:space="preserve"> PAGEREF _Toc59010235 \h </w:instrText>
        </w:r>
        <w:r w:rsidR="002A7FFA">
          <w:rPr>
            <w:noProof/>
            <w:webHidden/>
          </w:rPr>
        </w:r>
        <w:r w:rsidR="002A7FFA">
          <w:rPr>
            <w:noProof/>
            <w:webHidden/>
          </w:rPr>
          <w:fldChar w:fldCharType="separate"/>
        </w:r>
        <w:r w:rsidR="002A7FFA">
          <w:rPr>
            <w:noProof/>
            <w:webHidden/>
          </w:rPr>
          <w:t>8</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6" w:history="1">
        <w:r w:rsidR="002A7FFA" w:rsidRPr="006D0894">
          <w:rPr>
            <w:rStyle w:val="Hyperlink"/>
            <w:rFonts w:cs="Arial"/>
            <w:b/>
            <w:noProof/>
          </w:rPr>
          <w:t>3.2</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How many children with a severe visual impairment will qualify under the new test?</w:t>
        </w:r>
        <w:r w:rsidR="002A7FFA">
          <w:rPr>
            <w:noProof/>
            <w:webHidden/>
          </w:rPr>
          <w:tab/>
        </w:r>
        <w:r w:rsidR="002A7FFA">
          <w:rPr>
            <w:noProof/>
            <w:webHidden/>
          </w:rPr>
          <w:fldChar w:fldCharType="begin"/>
        </w:r>
        <w:r w:rsidR="002A7FFA">
          <w:rPr>
            <w:noProof/>
            <w:webHidden/>
          </w:rPr>
          <w:instrText xml:space="preserve"> PAGEREF _Toc59010236 \h </w:instrText>
        </w:r>
        <w:r w:rsidR="002A7FFA">
          <w:rPr>
            <w:noProof/>
            <w:webHidden/>
          </w:rPr>
        </w:r>
        <w:r w:rsidR="002A7FFA">
          <w:rPr>
            <w:noProof/>
            <w:webHidden/>
          </w:rPr>
          <w:fldChar w:fldCharType="separate"/>
        </w:r>
        <w:r w:rsidR="002A7FFA">
          <w:rPr>
            <w:noProof/>
            <w:webHidden/>
          </w:rPr>
          <w:t>10</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7" w:history="1">
        <w:r w:rsidR="002A7FFA" w:rsidRPr="006D0894">
          <w:rPr>
            <w:rStyle w:val="Hyperlink"/>
            <w:rFonts w:cs="Arial"/>
            <w:b/>
            <w:noProof/>
          </w:rPr>
          <w:t>3.3</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Severe mental impairment route to higher rate mobility</w:t>
        </w:r>
        <w:r w:rsidR="002A7FFA">
          <w:rPr>
            <w:noProof/>
            <w:webHidden/>
          </w:rPr>
          <w:tab/>
        </w:r>
        <w:r w:rsidR="002A7FFA">
          <w:rPr>
            <w:noProof/>
            <w:webHidden/>
          </w:rPr>
          <w:fldChar w:fldCharType="begin"/>
        </w:r>
        <w:r w:rsidR="002A7FFA">
          <w:rPr>
            <w:noProof/>
            <w:webHidden/>
          </w:rPr>
          <w:instrText xml:space="preserve"> PAGEREF _Toc59010237 \h </w:instrText>
        </w:r>
        <w:r w:rsidR="002A7FFA">
          <w:rPr>
            <w:noProof/>
            <w:webHidden/>
          </w:rPr>
        </w:r>
        <w:r w:rsidR="002A7FFA">
          <w:rPr>
            <w:noProof/>
            <w:webHidden/>
          </w:rPr>
          <w:fldChar w:fldCharType="separate"/>
        </w:r>
        <w:r w:rsidR="002A7FFA">
          <w:rPr>
            <w:noProof/>
            <w:webHidden/>
          </w:rPr>
          <w:t>11</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8" w:history="1">
        <w:r w:rsidR="002A7FFA" w:rsidRPr="006D0894">
          <w:rPr>
            <w:rStyle w:val="Hyperlink"/>
            <w:rFonts w:cs="Arial"/>
            <w:b/>
            <w:noProof/>
          </w:rPr>
          <w:t>3.4</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Drafting issue relating to artificial aids</w:t>
        </w:r>
        <w:r w:rsidR="002A7FFA">
          <w:rPr>
            <w:noProof/>
            <w:webHidden/>
          </w:rPr>
          <w:tab/>
        </w:r>
        <w:r w:rsidR="002A7FFA">
          <w:rPr>
            <w:noProof/>
            <w:webHidden/>
          </w:rPr>
          <w:fldChar w:fldCharType="begin"/>
        </w:r>
        <w:r w:rsidR="002A7FFA">
          <w:rPr>
            <w:noProof/>
            <w:webHidden/>
          </w:rPr>
          <w:instrText xml:space="preserve"> PAGEREF _Toc59010238 \h </w:instrText>
        </w:r>
        <w:r w:rsidR="002A7FFA">
          <w:rPr>
            <w:noProof/>
            <w:webHidden/>
          </w:rPr>
        </w:r>
        <w:r w:rsidR="002A7FFA">
          <w:rPr>
            <w:noProof/>
            <w:webHidden/>
          </w:rPr>
          <w:fldChar w:fldCharType="separate"/>
        </w:r>
        <w:r w:rsidR="002A7FFA">
          <w:rPr>
            <w:noProof/>
            <w:webHidden/>
          </w:rPr>
          <w:t>13</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39" w:history="1">
        <w:r w:rsidR="002A7FFA" w:rsidRPr="006D0894">
          <w:rPr>
            <w:rStyle w:val="Hyperlink"/>
            <w:rFonts w:cs="Arial"/>
            <w:b/>
            <w:noProof/>
          </w:rPr>
          <w:t>3.5</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Unable or virtually unable to walk as an outdoor test</w:t>
        </w:r>
        <w:r w:rsidR="002A7FFA">
          <w:rPr>
            <w:noProof/>
            <w:webHidden/>
          </w:rPr>
          <w:tab/>
        </w:r>
        <w:r w:rsidR="002A7FFA">
          <w:rPr>
            <w:noProof/>
            <w:webHidden/>
          </w:rPr>
          <w:fldChar w:fldCharType="begin"/>
        </w:r>
        <w:r w:rsidR="002A7FFA">
          <w:rPr>
            <w:noProof/>
            <w:webHidden/>
          </w:rPr>
          <w:instrText xml:space="preserve"> PAGEREF _Toc59010239 \h </w:instrText>
        </w:r>
        <w:r w:rsidR="002A7FFA">
          <w:rPr>
            <w:noProof/>
            <w:webHidden/>
          </w:rPr>
        </w:r>
        <w:r w:rsidR="002A7FFA">
          <w:rPr>
            <w:noProof/>
            <w:webHidden/>
          </w:rPr>
          <w:fldChar w:fldCharType="separate"/>
        </w:r>
        <w:r w:rsidR="002A7FFA">
          <w:rPr>
            <w:noProof/>
            <w:webHidden/>
          </w:rPr>
          <w:t>13</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40" w:history="1">
        <w:r w:rsidR="002A7FFA" w:rsidRPr="006D0894">
          <w:rPr>
            <w:rStyle w:val="Hyperlink"/>
            <w:rFonts w:cs="Arial"/>
            <w:b/>
            <w:noProof/>
          </w:rPr>
          <w:t>3.6</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Lower rate mobility eligibility depending on physical or mental impairment</w:t>
        </w:r>
        <w:r w:rsidR="002A7FFA">
          <w:rPr>
            <w:noProof/>
            <w:webHidden/>
          </w:rPr>
          <w:tab/>
        </w:r>
        <w:r w:rsidR="002A7FFA">
          <w:rPr>
            <w:noProof/>
            <w:webHidden/>
          </w:rPr>
          <w:fldChar w:fldCharType="begin"/>
        </w:r>
        <w:r w:rsidR="002A7FFA">
          <w:rPr>
            <w:noProof/>
            <w:webHidden/>
          </w:rPr>
          <w:instrText xml:space="preserve"> PAGEREF _Toc59010240 \h </w:instrText>
        </w:r>
        <w:r w:rsidR="002A7FFA">
          <w:rPr>
            <w:noProof/>
            <w:webHidden/>
          </w:rPr>
        </w:r>
        <w:r w:rsidR="002A7FFA">
          <w:rPr>
            <w:noProof/>
            <w:webHidden/>
          </w:rPr>
          <w:fldChar w:fldCharType="separate"/>
        </w:r>
        <w:r w:rsidR="002A7FFA">
          <w:rPr>
            <w:noProof/>
            <w:webHidden/>
          </w:rPr>
          <w:t>13</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41" w:history="1">
        <w:r w:rsidR="002A7FFA" w:rsidRPr="006D0894">
          <w:rPr>
            <w:rStyle w:val="Hyperlink"/>
            <w:rFonts w:cs="Arial"/>
            <w:b/>
            <w:noProof/>
          </w:rPr>
          <w:t>4.</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Temporary absences from home and non-payability of assistance</w:t>
        </w:r>
        <w:r w:rsidR="002A7FFA">
          <w:rPr>
            <w:noProof/>
            <w:webHidden/>
          </w:rPr>
          <w:tab/>
        </w:r>
        <w:r w:rsidR="002A7FFA">
          <w:rPr>
            <w:noProof/>
            <w:webHidden/>
          </w:rPr>
          <w:fldChar w:fldCharType="begin"/>
        </w:r>
        <w:r w:rsidR="002A7FFA">
          <w:rPr>
            <w:noProof/>
            <w:webHidden/>
          </w:rPr>
          <w:instrText xml:space="preserve"> PAGEREF _Toc59010241 \h </w:instrText>
        </w:r>
        <w:r w:rsidR="002A7FFA">
          <w:rPr>
            <w:noProof/>
            <w:webHidden/>
          </w:rPr>
        </w:r>
        <w:r w:rsidR="002A7FFA">
          <w:rPr>
            <w:noProof/>
            <w:webHidden/>
          </w:rPr>
          <w:fldChar w:fldCharType="separate"/>
        </w:r>
        <w:r w:rsidR="002A7FFA">
          <w:rPr>
            <w:noProof/>
            <w:webHidden/>
          </w:rPr>
          <w:t>14</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42" w:history="1">
        <w:r w:rsidR="002A7FFA" w:rsidRPr="006D0894">
          <w:rPr>
            <w:rStyle w:val="Hyperlink"/>
            <w:b/>
            <w:noProof/>
          </w:rPr>
          <w:t>5.</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Other issues about applying for CDP and changing awards</w:t>
        </w:r>
        <w:r w:rsidR="002A7FFA">
          <w:rPr>
            <w:noProof/>
            <w:webHidden/>
          </w:rPr>
          <w:tab/>
        </w:r>
        <w:r w:rsidR="002A7FFA">
          <w:rPr>
            <w:noProof/>
            <w:webHidden/>
          </w:rPr>
          <w:fldChar w:fldCharType="begin"/>
        </w:r>
        <w:r w:rsidR="002A7FFA">
          <w:rPr>
            <w:noProof/>
            <w:webHidden/>
          </w:rPr>
          <w:instrText xml:space="preserve"> PAGEREF _Toc59010242 \h </w:instrText>
        </w:r>
        <w:r w:rsidR="002A7FFA">
          <w:rPr>
            <w:noProof/>
            <w:webHidden/>
          </w:rPr>
        </w:r>
        <w:r w:rsidR="002A7FFA">
          <w:rPr>
            <w:noProof/>
            <w:webHidden/>
          </w:rPr>
          <w:fldChar w:fldCharType="separate"/>
        </w:r>
        <w:r w:rsidR="002A7FFA">
          <w:rPr>
            <w:noProof/>
            <w:webHidden/>
          </w:rPr>
          <w:t>15</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43" w:history="1">
        <w:r w:rsidR="002A7FFA" w:rsidRPr="006D0894">
          <w:rPr>
            <w:rStyle w:val="Hyperlink"/>
            <w:rFonts w:cs="Arial"/>
            <w:b/>
            <w:noProof/>
          </w:rPr>
          <w:t>5.1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Advance applications</w:t>
        </w:r>
        <w:r w:rsidR="002A7FFA">
          <w:rPr>
            <w:noProof/>
            <w:webHidden/>
          </w:rPr>
          <w:tab/>
        </w:r>
        <w:r w:rsidR="002A7FFA">
          <w:rPr>
            <w:noProof/>
            <w:webHidden/>
          </w:rPr>
          <w:fldChar w:fldCharType="begin"/>
        </w:r>
        <w:r w:rsidR="002A7FFA">
          <w:rPr>
            <w:noProof/>
            <w:webHidden/>
          </w:rPr>
          <w:instrText xml:space="preserve"> PAGEREF _Toc59010243 \h </w:instrText>
        </w:r>
        <w:r w:rsidR="002A7FFA">
          <w:rPr>
            <w:noProof/>
            <w:webHidden/>
          </w:rPr>
        </w:r>
        <w:r w:rsidR="002A7FFA">
          <w:rPr>
            <w:noProof/>
            <w:webHidden/>
          </w:rPr>
          <w:fldChar w:fldCharType="separate"/>
        </w:r>
        <w:r w:rsidR="002A7FFA">
          <w:rPr>
            <w:noProof/>
            <w:webHidden/>
          </w:rPr>
          <w:t>15</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44" w:history="1">
        <w:r w:rsidR="002A7FFA" w:rsidRPr="006D0894">
          <w:rPr>
            <w:rStyle w:val="Hyperlink"/>
            <w:rFonts w:cs="Arial"/>
            <w:b/>
            <w:noProof/>
          </w:rPr>
          <w:t>5.2</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Underpayments caused by official error</w:t>
        </w:r>
        <w:r w:rsidR="002A7FFA">
          <w:rPr>
            <w:noProof/>
            <w:webHidden/>
          </w:rPr>
          <w:tab/>
        </w:r>
        <w:r w:rsidR="002A7FFA">
          <w:rPr>
            <w:noProof/>
            <w:webHidden/>
          </w:rPr>
          <w:fldChar w:fldCharType="begin"/>
        </w:r>
        <w:r w:rsidR="002A7FFA">
          <w:rPr>
            <w:noProof/>
            <w:webHidden/>
          </w:rPr>
          <w:instrText xml:space="preserve"> PAGEREF _Toc59010244 \h </w:instrText>
        </w:r>
        <w:r w:rsidR="002A7FFA">
          <w:rPr>
            <w:noProof/>
            <w:webHidden/>
          </w:rPr>
        </w:r>
        <w:r w:rsidR="002A7FFA">
          <w:rPr>
            <w:noProof/>
            <w:webHidden/>
          </w:rPr>
          <w:fldChar w:fldCharType="separate"/>
        </w:r>
        <w:r w:rsidR="002A7FFA">
          <w:rPr>
            <w:noProof/>
            <w:webHidden/>
          </w:rPr>
          <w:t>17</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45" w:history="1">
        <w:r w:rsidR="002A7FFA" w:rsidRPr="006D0894">
          <w:rPr>
            <w:rStyle w:val="Hyperlink"/>
            <w:rFonts w:cs="Arial"/>
            <w:b/>
            <w:noProof/>
          </w:rPr>
          <w:t>5.3</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Payments</w:t>
        </w:r>
        <w:r w:rsidR="002A7FFA">
          <w:rPr>
            <w:noProof/>
            <w:webHidden/>
          </w:rPr>
          <w:tab/>
        </w:r>
        <w:r w:rsidR="002A7FFA">
          <w:rPr>
            <w:noProof/>
            <w:webHidden/>
          </w:rPr>
          <w:fldChar w:fldCharType="begin"/>
        </w:r>
        <w:r w:rsidR="002A7FFA">
          <w:rPr>
            <w:noProof/>
            <w:webHidden/>
          </w:rPr>
          <w:instrText xml:space="preserve"> PAGEREF _Toc59010245 \h </w:instrText>
        </w:r>
        <w:r w:rsidR="002A7FFA">
          <w:rPr>
            <w:noProof/>
            <w:webHidden/>
          </w:rPr>
        </w:r>
        <w:r w:rsidR="002A7FFA">
          <w:rPr>
            <w:noProof/>
            <w:webHidden/>
          </w:rPr>
          <w:fldChar w:fldCharType="separate"/>
        </w:r>
        <w:r w:rsidR="002A7FFA">
          <w:rPr>
            <w:noProof/>
            <w:webHidden/>
          </w:rPr>
          <w:t>18</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46" w:history="1">
        <w:r w:rsidR="002A7FFA" w:rsidRPr="006D0894">
          <w:rPr>
            <w:rStyle w:val="Hyperlink"/>
            <w:rFonts w:cs="Arial"/>
            <w:b/>
            <w:noProof/>
          </w:rPr>
          <w:t>6.</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Residence and presence conditions</w:t>
        </w:r>
        <w:r w:rsidR="002A7FFA">
          <w:rPr>
            <w:noProof/>
            <w:webHidden/>
          </w:rPr>
          <w:tab/>
        </w:r>
        <w:r w:rsidR="002A7FFA">
          <w:rPr>
            <w:noProof/>
            <w:webHidden/>
          </w:rPr>
          <w:fldChar w:fldCharType="begin"/>
        </w:r>
        <w:r w:rsidR="002A7FFA">
          <w:rPr>
            <w:noProof/>
            <w:webHidden/>
          </w:rPr>
          <w:instrText xml:space="preserve"> PAGEREF _Toc59010246 \h </w:instrText>
        </w:r>
        <w:r w:rsidR="002A7FFA">
          <w:rPr>
            <w:noProof/>
            <w:webHidden/>
          </w:rPr>
        </w:r>
        <w:r w:rsidR="002A7FFA">
          <w:rPr>
            <w:noProof/>
            <w:webHidden/>
          </w:rPr>
          <w:fldChar w:fldCharType="separate"/>
        </w:r>
        <w:r w:rsidR="002A7FFA">
          <w:rPr>
            <w:noProof/>
            <w:webHidden/>
          </w:rPr>
          <w:t>19</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47" w:history="1">
        <w:r w:rsidR="002A7FFA" w:rsidRPr="006D0894">
          <w:rPr>
            <w:rStyle w:val="Hyperlink"/>
            <w:rFonts w:cs="Arial"/>
            <w:b/>
            <w:noProof/>
          </w:rPr>
          <w:t>7.</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Other matters</w:t>
        </w:r>
        <w:r w:rsidR="002A7FFA">
          <w:rPr>
            <w:noProof/>
            <w:webHidden/>
          </w:rPr>
          <w:tab/>
        </w:r>
        <w:r w:rsidR="002A7FFA">
          <w:rPr>
            <w:noProof/>
            <w:webHidden/>
          </w:rPr>
          <w:fldChar w:fldCharType="begin"/>
        </w:r>
        <w:r w:rsidR="002A7FFA">
          <w:rPr>
            <w:noProof/>
            <w:webHidden/>
          </w:rPr>
          <w:instrText xml:space="preserve"> PAGEREF _Toc59010247 \h </w:instrText>
        </w:r>
        <w:r w:rsidR="002A7FFA">
          <w:rPr>
            <w:noProof/>
            <w:webHidden/>
          </w:rPr>
        </w:r>
        <w:r w:rsidR="002A7FFA">
          <w:rPr>
            <w:noProof/>
            <w:webHidden/>
          </w:rPr>
          <w:fldChar w:fldCharType="separate"/>
        </w:r>
        <w:r w:rsidR="002A7FFA">
          <w:rPr>
            <w:noProof/>
            <w:webHidden/>
          </w:rPr>
          <w:t>19</w:t>
        </w:r>
        <w:r w:rsidR="002A7FFA">
          <w:rPr>
            <w:noProof/>
            <w:webHidden/>
          </w:rPr>
          <w:fldChar w:fldCharType="end"/>
        </w:r>
      </w:hyperlink>
    </w:p>
    <w:p w:rsidR="002A7FFA" w:rsidRDefault="00B3377C">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9010248" w:history="1">
        <w:r w:rsidR="002A7FFA" w:rsidRPr="006D0894">
          <w:rPr>
            <w:rStyle w:val="Hyperlink"/>
            <w:rFonts w:cs="Arial"/>
            <w:b/>
            <w:noProof/>
          </w:rPr>
          <w:t>7.1</w:t>
        </w:r>
        <w:r w:rsidR="002A7FFA">
          <w:rPr>
            <w:rFonts w:asciiTheme="minorHAnsi" w:eastAsiaTheme="minorEastAsia" w:hAnsiTheme="minorHAnsi" w:cstheme="minorBidi"/>
            <w:noProof/>
            <w:sz w:val="22"/>
            <w:szCs w:val="22"/>
            <w:lang w:eastAsia="en-GB"/>
          </w:rPr>
          <w:tab/>
        </w:r>
        <w:r w:rsidR="002A7FFA" w:rsidRPr="006D0894">
          <w:rPr>
            <w:rStyle w:val="Hyperlink"/>
            <w:rFonts w:cs="Arial"/>
            <w:b/>
            <w:noProof/>
          </w:rPr>
          <w:t>Age rules</w:t>
        </w:r>
        <w:r w:rsidR="002A7FFA">
          <w:rPr>
            <w:noProof/>
            <w:webHidden/>
          </w:rPr>
          <w:tab/>
        </w:r>
        <w:r w:rsidR="002A7FFA">
          <w:rPr>
            <w:noProof/>
            <w:webHidden/>
          </w:rPr>
          <w:fldChar w:fldCharType="begin"/>
        </w:r>
        <w:r w:rsidR="002A7FFA">
          <w:rPr>
            <w:noProof/>
            <w:webHidden/>
          </w:rPr>
          <w:instrText xml:space="preserve"> PAGEREF _Toc59010248 \h </w:instrText>
        </w:r>
        <w:r w:rsidR="002A7FFA">
          <w:rPr>
            <w:noProof/>
            <w:webHidden/>
          </w:rPr>
        </w:r>
        <w:r w:rsidR="002A7FFA">
          <w:rPr>
            <w:noProof/>
            <w:webHidden/>
          </w:rPr>
          <w:fldChar w:fldCharType="separate"/>
        </w:r>
        <w:r w:rsidR="002A7FFA">
          <w:rPr>
            <w:noProof/>
            <w:webHidden/>
          </w:rPr>
          <w:t>19</w:t>
        </w:r>
        <w:r w:rsidR="002A7FFA">
          <w:rPr>
            <w:noProof/>
            <w:webHidden/>
          </w:rPr>
          <w:fldChar w:fldCharType="end"/>
        </w:r>
      </w:hyperlink>
    </w:p>
    <w:p w:rsidR="002A7FFA" w:rsidRDefault="00B3377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9010249" w:history="1">
        <w:r w:rsidR="002A7FFA" w:rsidRPr="006D0894">
          <w:rPr>
            <w:rStyle w:val="Hyperlink"/>
            <w:b/>
            <w:noProof/>
          </w:rPr>
          <w:t>8.</w:t>
        </w:r>
        <w:r w:rsidR="002A7FFA">
          <w:rPr>
            <w:rFonts w:asciiTheme="minorHAnsi" w:eastAsiaTheme="minorEastAsia" w:hAnsiTheme="minorHAnsi" w:cstheme="minorBidi"/>
            <w:noProof/>
            <w:sz w:val="22"/>
            <w:szCs w:val="22"/>
            <w:lang w:eastAsia="en-GB"/>
          </w:rPr>
          <w:tab/>
        </w:r>
        <w:r w:rsidR="002A7FFA" w:rsidRPr="006D0894">
          <w:rPr>
            <w:rStyle w:val="Hyperlink"/>
            <w:b/>
            <w:noProof/>
          </w:rPr>
          <w:t>Annex</w:t>
        </w:r>
        <w:r w:rsidR="002A7FFA">
          <w:rPr>
            <w:noProof/>
            <w:webHidden/>
          </w:rPr>
          <w:tab/>
        </w:r>
        <w:r w:rsidR="002A7FFA">
          <w:rPr>
            <w:noProof/>
            <w:webHidden/>
          </w:rPr>
          <w:fldChar w:fldCharType="begin"/>
        </w:r>
        <w:r w:rsidR="002A7FFA">
          <w:rPr>
            <w:noProof/>
            <w:webHidden/>
          </w:rPr>
          <w:instrText xml:space="preserve"> PAGEREF _Toc59010249 \h </w:instrText>
        </w:r>
        <w:r w:rsidR="002A7FFA">
          <w:rPr>
            <w:noProof/>
            <w:webHidden/>
          </w:rPr>
        </w:r>
        <w:r w:rsidR="002A7FFA">
          <w:rPr>
            <w:noProof/>
            <w:webHidden/>
          </w:rPr>
          <w:fldChar w:fldCharType="separate"/>
        </w:r>
        <w:r w:rsidR="002A7FFA">
          <w:rPr>
            <w:noProof/>
            <w:webHidden/>
          </w:rPr>
          <w:t>21</w:t>
        </w:r>
        <w:r w:rsidR="002A7FFA">
          <w:rPr>
            <w:noProof/>
            <w:webHidden/>
          </w:rPr>
          <w:fldChar w:fldCharType="end"/>
        </w:r>
      </w:hyperlink>
    </w:p>
    <w:p w:rsidR="0000119C" w:rsidRPr="005830CE" w:rsidRDefault="0000119C" w:rsidP="0000119C">
      <w:pPr>
        <w:rPr>
          <w:noProof/>
        </w:rPr>
      </w:pPr>
      <w:r w:rsidRPr="005830CE">
        <w:rPr>
          <w:noProof/>
        </w:rPr>
        <w:fldChar w:fldCharType="end"/>
      </w:r>
    </w:p>
    <w:p w:rsidR="0000119C" w:rsidRPr="005830CE" w:rsidRDefault="0000119C" w:rsidP="0000119C">
      <w:pPr>
        <w:rPr>
          <w:noProof/>
        </w:rPr>
      </w:pPr>
    </w:p>
    <w:p w:rsidR="0000119C" w:rsidRPr="005830CE" w:rsidRDefault="0000119C" w:rsidP="0000119C">
      <w:pPr>
        <w:rPr>
          <w:noProof/>
        </w:rPr>
      </w:pPr>
    </w:p>
    <w:p w:rsidR="0000119C" w:rsidRPr="005830CE" w:rsidRDefault="0000119C" w:rsidP="0000119C">
      <w:pPr>
        <w:rPr>
          <w:noProof/>
        </w:rPr>
      </w:pPr>
    </w:p>
    <w:p w:rsidR="0000119C" w:rsidRPr="005830CE" w:rsidRDefault="0000119C" w:rsidP="0000119C">
      <w:pPr>
        <w:rPr>
          <w:noProof/>
        </w:rPr>
      </w:pPr>
    </w:p>
    <w:p w:rsidR="0000119C" w:rsidRPr="005830CE" w:rsidRDefault="0000119C" w:rsidP="0000119C">
      <w:pPr>
        <w:rPr>
          <w:noProof/>
        </w:rPr>
      </w:pPr>
    </w:p>
    <w:p w:rsidR="0000119C" w:rsidRPr="005830CE" w:rsidRDefault="0000119C" w:rsidP="0000119C">
      <w:pPr>
        <w:rPr>
          <w:noProof/>
        </w:rPr>
      </w:pPr>
    </w:p>
    <w:p w:rsidR="004C258F" w:rsidRPr="005830CE" w:rsidRDefault="004C258F">
      <w:pPr>
        <w:autoSpaceDE/>
        <w:autoSpaceDN/>
        <w:adjustRightInd/>
        <w:spacing w:after="160" w:line="259" w:lineRule="auto"/>
        <w:rPr>
          <w:b/>
          <w:noProof/>
          <w:kern w:val="24"/>
          <w:sz w:val="32"/>
          <w:szCs w:val="20"/>
        </w:rPr>
      </w:pPr>
      <w:r w:rsidRPr="005830CE">
        <w:rPr>
          <w:b/>
          <w:noProof/>
          <w:sz w:val="32"/>
        </w:rPr>
        <w:br w:type="page"/>
      </w:r>
    </w:p>
    <w:p w:rsidR="0000119C" w:rsidRPr="002A7FFA" w:rsidRDefault="0000119C" w:rsidP="002A7FFA">
      <w:pPr>
        <w:pStyle w:val="Heading1"/>
        <w:numPr>
          <w:ilvl w:val="0"/>
          <w:numId w:val="0"/>
        </w:numPr>
        <w:rPr>
          <w:rFonts w:cs="Arial"/>
          <w:b/>
          <w:noProof/>
          <w:sz w:val="32"/>
        </w:rPr>
      </w:pPr>
      <w:bookmarkStart w:id="0" w:name="_Toc59010229"/>
      <w:r w:rsidRPr="005830CE">
        <w:rPr>
          <w:rFonts w:cs="Arial"/>
          <w:b/>
          <w:noProof/>
          <w:sz w:val="32"/>
        </w:rPr>
        <w:lastRenderedPageBreak/>
        <w:t>Summary of recommendations and observations</w:t>
      </w:r>
      <w:bookmarkEnd w:id="0"/>
    </w:p>
    <w:p w:rsidR="002A7FFA" w:rsidRDefault="002A7FFA" w:rsidP="002A7FFA">
      <w:pPr>
        <w:autoSpaceDE/>
        <w:autoSpaceDN/>
        <w:adjustRightInd/>
        <w:spacing w:after="160" w:line="259" w:lineRule="auto"/>
        <w:rPr>
          <w:b/>
        </w:rPr>
      </w:pPr>
    </w:p>
    <w:p w:rsidR="008A7E88" w:rsidRDefault="008A7E88" w:rsidP="008A7E88">
      <w:pPr>
        <w:rPr>
          <w:b/>
        </w:rPr>
      </w:pPr>
      <w:r w:rsidRPr="005830CE">
        <w:rPr>
          <w:b/>
        </w:rPr>
        <w:t>Recommendation</w:t>
      </w:r>
      <w:r>
        <w:rPr>
          <w:b/>
        </w:rPr>
        <w:t xml:space="preserve"> 1</w:t>
      </w:r>
      <w:r w:rsidRPr="005830CE">
        <w:rPr>
          <w:b/>
        </w:rPr>
        <w:t>: In evaluating the delivery of CDP, the Scottish Government should assess whether the timescales to apply for re</w:t>
      </w:r>
      <w:r>
        <w:rPr>
          <w:b/>
        </w:rPr>
        <w:t>-</w:t>
      </w:r>
      <w:r w:rsidRPr="005830CE">
        <w:rPr>
          <w:b/>
        </w:rPr>
        <w:t>determinations meet applicants’ needs. Social Security Scotland should gather and publish information on reasons and outcomes where re</w:t>
      </w:r>
      <w:r>
        <w:rPr>
          <w:b/>
        </w:rPr>
        <w:t>-</w:t>
      </w:r>
      <w:r w:rsidRPr="005830CE">
        <w:rPr>
          <w:b/>
        </w:rPr>
        <w:t>determination requests are received outside the time limit.</w:t>
      </w:r>
    </w:p>
    <w:p w:rsidR="008A7E88" w:rsidRPr="005830CE" w:rsidRDefault="008A7E88" w:rsidP="008A7E88">
      <w:pPr>
        <w:rPr>
          <w:b/>
        </w:rPr>
      </w:pPr>
    </w:p>
    <w:p w:rsidR="008A7E88" w:rsidRDefault="008A7E88" w:rsidP="008A7E88">
      <w:pPr>
        <w:rPr>
          <w:b/>
          <w:lang w:val="en-US"/>
        </w:rPr>
      </w:pPr>
      <w:r w:rsidRPr="005830CE">
        <w:rPr>
          <w:b/>
          <w:lang w:val="en-US"/>
        </w:rPr>
        <w:t>Recommendation</w:t>
      </w:r>
      <w:r>
        <w:rPr>
          <w:b/>
          <w:lang w:val="en-US"/>
        </w:rPr>
        <w:t xml:space="preserve"> 2</w:t>
      </w:r>
      <w:r w:rsidRPr="005830CE">
        <w:rPr>
          <w:b/>
          <w:lang w:val="en-US"/>
        </w:rPr>
        <w:t>: The Scottish Government should amend the definition of ‘severe visual impairment’ in regulation 7(4) to remove the mobilising requirement. Further, it should provide detailed guidance on the VINCYP assessment and the types of supporting information that will evidence severe visual impairment.</w:t>
      </w:r>
    </w:p>
    <w:p w:rsidR="008A7E88" w:rsidRPr="002A7FFA" w:rsidRDefault="008A7E88" w:rsidP="008A7E88">
      <w:pPr>
        <w:rPr>
          <w:b/>
          <w:lang w:val="en-US"/>
        </w:rPr>
      </w:pPr>
    </w:p>
    <w:p w:rsidR="008A7E88" w:rsidRDefault="008A7E88" w:rsidP="008A7E88">
      <w:pPr>
        <w:pStyle w:val="ListParagraph"/>
        <w:ind w:left="0"/>
        <w:rPr>
          <w:b/>
          <w:lang w:val="en-US"/>
        </w:rPr>
      </w:pPr>
      <w:r w:rsidRPr="005830CE">
        <w:rPr>
          <w:b/>
          <w:lang w:val="en-US"/>
        </w:rPr>
        <w:t>Observation</w:t>
      </w:r>
      <w:r>
        <w:rPr>
          <w:b/>
          <w:lang w:val="en-US"/>
        </w:rPr>
        <w:t xml:space="preserve"> 1</w:t>
      </w:r>
      <w:r w:rsidRPr="005830CE">
        <w:rPr>
          <w:b/>
          <w:lang w:val="en-US"/>
        </w:rPr>
        <w:t>: Generally, where there is a</w:t>
      </w:r>
      <w:r>
        <w:rPr>
          <w:b/>
          <w:lang w:val="en-US"/>
        </w:rPr>
        <w:t xml:space="preserve"> significant</w:t>
      </w:r>
      <w:r w:rsidRPr="005830CE">
        <w:rPr>
          <w:b/>
          <w:lang w:val="en-US"/>
        </w:rPr>
        <w:t xml:space="preserve"> change in policy as regulations are developed, it would be good practice to consider any consequential impacts and update equality and other impact assessments as needed. </w:t>
      </w:r>
      <w:r>
        <w:rPr>
          <w:b/>
          <w:lang w:val="en-US"/>
        </w:rPr>
        <w:t xml:space="preserve">To ensure any potential impacts are identified regarding children with visual impairments, the Scottish Government should monitor how many children qualify for CDP under the new definition of severe visual impairment. </w:t>
      </w:r>
    </w:p>
    <w:p w:rsidR="008A7E88" w:rsidRPr="005830CE" w:rsidRDefault="008A7E88" w:rsidP="008A7E88">
      <w:pPr>
        <w:pStyle w:val="ListParagraph"/>
        <w:ind w:left="0"/>
        <w:rPr>
          <w:b/>
          <w:lang w:val="en-US"/>
        </w:rPr>
      </w:pPr>
    </w:p>
    <w:p w:rsidR="008A7E88" w:rsidRDefault="008A7E88" w:rsidP="008A7E88">
      <w:pPr>
        <w:rPr>
          <w:b/>
        </w:rPr>
      </w:pPr>
      <w:r w:rsidRPr="005830CE">
        <w:rPr>
          <w:b/>
        </w:rPr>
        <w:t>Recommendation</w:t>
      </w:r>
      <w:r>
        <w:rPr>
          <w:b/>
        </w:rPr>
        <w:t xml:space="preserve"> 3</w:t>
      </w:r>
      <w:r w:rsidRPr="005830CE">
        <w:rPr>
          <w:b/>
        </w:rPr>
        <w:t>: As part of its take</w:t>
      </w:r>
      <w:r>
        <w:rPr>
          <w:b/>
        </w:rPr>
        <w:t>-</w:t>
      </w:r>
      <w:r w:rsidRPr="005830CE">
        <w:rPr>
          <w:b/>
        </w:rPr>
        <w:t>up strategy for CDP</w:t>
      </w:r>
      <w:r>
        <w:rPr>
          <w:b/>
        </w:rPr>
        <w:t xml:space="preserve"> working with organisations and services</w:t>
      </w:r>
      <w:r w:rsidRPr="005830CE">
        <w:rPr>
          <w:b/>
        </w:rPr>
        <w:t>, the Scottish Government should work with VINCYP networks to promote take</w:t>
      </w:r>
      <w:r>
        <w:rPr>
          <w:b/>
        </w:rPr>
        <w:t>-</w:t>
      </w:r>
      <w:r w:rsidRPr="005830CE">
        <w:rPr>
          <w:b/>
        </w:rPr>
        <w:t>up among children with visual impairments.</w:t>
      </w:r>
    </w:p>
    <w:p w:rsidR="008A7E88" w:rsidRDefault="008A7E88" w:rsidP="008A7E88">
      <w:pPr>
        <w:rPr>
          <w:b/>
        </w:rPr>
      </w:pPr>
    </w:p>
    <w:p w:rsidR="008A7E88" w:rsidRDefault="008A7E88" w:rsidP="008A7E88">
      <w:pPr>
        <w:rPr>
          <w:b/>
        </w:rPr>
      </w:pPr>
      <w:r w:rsidRPr="005830CE">
        <w:rPr>
          <w:b/>
        </w:rPr>
        <w:t>Observation</w:t>
      </w:r>
      <w:r>
        <w:rPr>
          <w:b/>
        </w:rPr>
        <w:t xml:space="preserve"> 2</w:t>
      </w:r>
      <w:r w:rsidRPr="005830CE">
        <w:rPr>
          <w:b/>
        </w:rPr>
        <w:t>: We note that further adjustments to drafting of regulations are needed to ensure that the route to qualifying for higher rate mobility for a child with a ‘severe mental impairment’ who also has ‘severe behavioural difficulties’ is set out in regulations in a manner consistent with the policy intention of it being a single test where both parts must be satisfied.</w:t>
      </w:r>
    </w:p>
    <w:p w:rsidR="008A7E88" w:rsidRPr="002A7FFA" w:rsidRDefault="008A7E88" w:rsidP="008A7E88">
      <w:pPr>
        <w:rPr>
          <w:b/>
        </w:rPr>
      </w:pPr>
    </w:p>
    <w:p w:rsidR="008A7E88" w:rsidRDefault="008A7E88" w:rsidP="008A7E88">
      <w:pPr>
        <w:tabs>
          <w:tab w:val="left" w:pos="4680"/>
          <w:tab w:val="left" w:pos="5400"/>
          <w:tab w:val="right" w:pos="9000"/>
        </w:tabs>
        <w:rPr>
          <w:b/>
          <w:szCs w:val="22"/>
        </w:rPr>
      </w:pPr>
      <w:r w:rsidRPr="005830CE">
        <w:rPr>
          <w:b/>
          <w:szCs w:val="22"/>
        </w:rPr>
        <w:t>Recommendation</w:t>
      </w:r>
      <w:r>
        <w:rPr>
          <w:b/>
          <w:szCs w:val="22"/>
        </w:rPr>
        <w:t xml:space="preserve"> 4</w:t>
      </w:r>
      <w:r w:rsidRPr="005830CE">
        <w:rPr>
          <w:b/>
          <w:szCs w:val="22"/>
        </w:rPr>
        <w:t xml:space="preserve">: The Scottish Government should amend the regulations to clarify the policy intention that interventions in a positive behavioural support plan are evidence but having </w:t>
      </w:r>
      <w:r>
        <w:rPr>
          <w:b/>
          <w:szCs w:val="22"/>
        </w:rPr>
        <w:t xml:space="preserve">such </w:t>
      </w:r>
      <w:r w:rsidRPr="005830CE">
        <w:rPr>
          <w:b/>
          <w:szCs w:val="22"/>
        </w:rPr>
        <w:t>a plan is not required for a child to be accepted as having ‘severe behavioural difficulties’.</w:t>
      </w:r>
    </w:p>
    <w:p w:rsidR="008A7E88" w:rsidRDefault="008A7E88" w:rsidP="008A7E88">
      <w:pPr>
        <w:tabs>
          <w:tab w:val="left" w:pos="4680"/>
          <w:tab w:val="left" w:pos="5400"/>
          <w:tab w:val="right" w:pos="9000"/>
        </w:tabs>
        <w:rPr>
          <w:b/>
          <w:szCs w:val="22"/>
        </w:rPr>
      </w:pPr>
    </w:p>
    <w:p w:rsidR="008A7E88" w:rsidRDefault="008A7E88" w:rsidP="008A7E88">
      <w:pPr>
        <w:tabs>
          <w:tab w:val="left" w:pos="4680"/>
          <w:tab w:val="left" w:pos="5400"/>
          <w:tab w:val="right" w:pos="9000"/>
        </w:tabs>
        <w:rPr>
          <w:b/>
          <w:szCs w:val="22"/>
        </w:rPr>
      </w:pPr>
      <w:r w:rsidRPr="00FC3945">
        <w:rPr>
          <w:b/>
          <w:szCs w:val="22"/>
        </w:rPr>
        <w:t>Recommendation</w:t>
      </w:r>
      <w:r>
        <w:rPr>
          <w:b/>
          <w:szCs w:val="22"/>
        </w:rPr>
        <w:t xml:space="preserve"> 5</w:t>
      </w:r>
      <w:r w:rsidRPr="00FC3945">
        <w:rPr>
          <w:b/>
          <w:szCs w:val="22"/>
        </w:rPr>
        <w:t xml:space="preserve">: The Scottish Government should ensure that regulation 7(3) is explicit about which routes to qualifying for </w:t>
      </w:r>
      <w:r w:rsidRPr="00FC3945">
        <w:rPr>
          <w:b/>
          <w:szCs w:val="22"/>
        </w:rPr>
        <w:lastRenderedPageBreak/>
        <w:t xml:space="preserve">higher rate mobility are affected by a </w:t>
      </w:r>
      <w:r w:rsidRPr="00FC3945">
        <w:rPr>
          <w:b/>
        </w:rPr>
        <w:t xml:space="preserve">child’s </w:t>
      </w:r>
      <w:r w:rsidRPr="00FC3945">
        <w:rPr>
          <w:b/>
          <w:szCs w:val="22"/>
        </w:rPr>
        <w:t>ability to walk using an artificial limb or artificial aid.</w:t>
      </w:r>
    </w:p>
    <w:p w:rsidR="008A7E88" w:rsidRPr="00FC3945" w:rsidRDefault="008A7E88" w:rsidP="008A7E88">
      <w:pPr>
        <w:tabs>
          <w:tab w:val="left" w:pos="4680"/>
          <w:tab w:val="left" w:pos="5400"/>
          <w:tab w:val="right" w:pos="9000"/>
        </w:tabs>
        <w:rPr>
          <w:b/>
          <w:szCs w:val="22"/>
        </w:rPr>
      </w:pPr>
    </w:p>
    <w:p w:rsidR="008A7E88" w:rsidRDefault="008A7E88" w:rsidP="008A7E88">
      <w:pPr>
        <w:rPr>
          <w:b/>
        </w:rPr>
      </w:pPr>
      <w:r w:rsidRPr="005830CE">
        <w:rPr>
          <w:b/>
        </w:rPr>
        <w:t>Recommendation</w:t>
      </w:r>
      <w:r>
        <w:rPr>
          <w:b/>
        </w:rPr>
        <w:t xml:space="preserve"> 6</w:t>
      </w:r>
      <w:r w:rsidRPr="005830CE">
        <w:rPr>
          <w:b/>
        </w:rPr>
        <w:t>: The Scottish Government should ensure that the policy intention relating to a child’s ability to walk out of doors is clear in regulations and guidance.</w:t>
      </w:r>
    </w:p>
    <w:p w:rsidR="008A7E88" w:rsidRDefault="008A7E88" w:rsidP="008A7E88">
      <w:pPr>
        <w:rPr>
          <w:b/>
        </w:rPr>
      </w:pPr>
    </w:p>
    <w:p w:rsidR="008A7E88" w:rsidRDefault="008A7E88" w:rsidP="008A7E88">
      <w:pPr>
        <w:pStyle w:val="Default"/>
        <w:rPr>
          <w:b/>
          <w:sz w:val="28"/>
          <w:szCs w:val="28"/>
        </w:rPr>
      </w:pPr>
      <w:r w:rsidRPr="005830CE">
        <w:rPr>
          <w:b/>
          <w:sz w:val="28"/>
          <w:szCs w:val="28"/>
        </w:rPr>
        <w:t>Observation</w:t>
      </w:r>
      <w:r>
        <w:rPr>
          <w:b/>
          <w:sz w:val="28"/>
          <w:szCs w:val="28"/>
        </w:rPr>
        <w:t xml:space="preserve"> 3</w:t>
      </w:r>
      <w:r w:rsidRPr="005830CE">
        <w:rPr>
          <w:b/>
          <w:sz w:val="28"/>
          <w:szCs w:val="28"/>
        </w:rPr>
        <w:t>: We note that further adjustments to drafting of the regulation for lower rate mobility component may be needed to explicitly relate the need for guidance or supervision to a physical or mental impairment.</w:t>
      </w:r>
      <w:r>
        <w:rPr>
          <w:b/>
          <w:sz w:val="28"/>
          <w:szCs w:val="28"/>
        </w:rPr>
        <w:t xml:space="preserve"> </w:t>
      </w:r>
      <w:r w:rsidRPr="00E90B69">
        <w:rPr>
          <w:b/>
          <w:sz w:val="28"/>
          <w:szCs w:val="28"/>
        </w:rPr>
        <w:t>Should the Scottish Government consider the draft regulations to be sufficient as they are, it should explain how they are consistent with the Social Security (Scotland) Act.</w:t>
      </w:r>
    </w:p>
    <w:p w:rsidR="008A7E88" w:rsidRDefault="008A7E88" w:rsidP="008A7E88">
      <w:pPr>
        <w:pStyle w:val="Default"/>
        <w:rPr>
          <w:b/>
          <w:sz w:val="28"/>
          <w:szCs w:val="28"/>
        </w:rPr>
      </w:pPr>
    </w:p>
    <w:p w:rsidR="008A7E88" w:rsidRDefault="008A7E88" w:rsidP="008A7E88">
      <w:pPr>
        <w:pStyle w:val="Default"/>
        <w:rPr>
          <w:b/>
          <w:sz w:val="28"/>
          <w:szCs w:val="28"/>
        </w:rPr>
      </w:pPr>
      <w:r w:rsidRPr="005830CE">
        <w:rPr>
          <w:b/>
          <w:sz w:val="28"/>
          <w:szCs w:val="28"/>
        </w:rPr>
        <w:t>Recommendation</w:t>
      </w:r>
      <w:r>
        <w:rPr>
          <w:b/>
          <w:sz w:val="28"/>
          <w:szCs w:val="28"/>
        </w:rPr>
        <w:t xml:space="preserve"> 7</w:t>
      </w:r>
      <w:r w:rsidRPr="005830CE">
        <w:rPr>
          <w:b/>
          <w:sz w:val="28"/>
          <w:szCs w:val="28"/>
        </w:rPr>
        <w:t>: The Scottish Government should amend regulation 14 to allow a nil amount to be paid when entitlement begins while a child is resident in a care home or residential educational establishment.</w:t>
      </w:r>
    </w:p>
    <w:p w:rsidR="008A7E88" w:rsidRPr="005830CE" w:rsidRDefault="008A7E88" w:rsidP="008A7E88">
      <w:pPr>
        <w:pStyle w:val="Default"/>
        <w:rPr>
          <w:b/>
          <w:sz w:val="28"/>
          <w:szCs w:val="28"/>
        </w:rPr>
      </w:pPr>
    </w:p>
    <w:p w:rsidR="008A7E88" w:rsidRDefault="008A7E88" w:rsidP="008A7E88">
      <w:pPr>
        <w:pStyle w:val="Default"/>
        <w:rPr>
          <w:b/>
          <w:color w:val="auto"/>
          <w:sz w:val="28"/>
          <w:szCs w:val="28"/>
        </w:rPr>
      </w:pPr>
      <w:r w:rsidRPr="002A7FFA">
        <w:rPr>
          <w:b/>
          <w:color w:val="auto"/>
          <w:sz w:val="28"/>
          <w:szCs w:val="28"/>
        </w:rPr>
        <w:t>Recommendation 8: The Scottish Government should clarify whether the policy intention is not to pay CDP care component arrears if a child or young person is released from legal detention without charge or sentenced to a non-custodial prison sentence.</w:t>
      </w:r>
    </w:p>
    <w:p w:rsidR="008A7E88" w:rsidRPr="002A7FFA" w:rsidRDefault="008A7E88" w:rsidP="008A7E88">
      <w:pPr>
        <w:pStyle w:val="Default"/>
        <w:rPr>
          <w:b/>
          <w:color w:val="auto"/>
          <w:sz w:val="28"/>
          <w:szCs w:val="28"/>
        </w:rPr>
      </w:pPr>
    </w:p>
    <w:p w:rsidR="008A7E88" w:rsidRPr="005830CE" w:rsidRDefault="008A7E88" w:rsidP="008A7E88">
      <w:pPr>
        <w:rPr>
          <w:b/>
          <w:szCs w:val="24"/>
        </w:rPr>
      </w:pPr>
      <w:r w:rsidRPr="005830CE">
        <w:rPr>
          <w:b/>
          <w:szCs w:val="24"/>
        </w:rPr>
        <w:t>Recommendation</w:t>
      </w:r>
      <w:r>
        <w:rPr>
          <w:b/>
          <w:szCs w:val="24"/>
        </w:rPr>
        <w:t xml:space="preserve"> 9</w:t>
      </w:r>
      <w:r w:rsidRPr="005830CE">
        <w:rPr>
          <w:b/>
          <w:szCs w:val="24"/>
        </w:rPr>
        <w:t>: The Scottish Government should:</w:t>
      </w:r>
    </w:p>
    <w:p w:rsidR="008A7E88" w:rsidRPr="005830CE" w:rsidRDefault="008A7E88" w:rsidP="008A7E88">
      <w:pPr>
        <w:pStyle w:val="ListParagraph"/>
        <w:numPr>
          <w:ilvl w:val="0"/>
          <w:numId w:val="39"/>
        </w:numPr>
        <w:rPr>
          <w:b/>
          <w:szCs w:val="24"/>
        </w:rPr>
      </w:pPr>
      <w:r w:rsidRPr="005830CE">
        <w:rPr>
          <w:b/>
          <w:szCs w:val="24"/>
        </w:rPr>
        <w:t>clarify in the regulations the circumstances in which an advance application can be made, with a view to a broad flexibility;</w:t>
      </w:r>
    </w:p>
    <w:p w:rsidR="008A7E88" w:rsidRPr="005830CE" w:rsidRDefault="008A7E88" w:rsidP="008A7E88">
      <w:pPr>
        <w:pStyle w:val="ListParagraph"/>
        <w:numPr>
          <w:ilvl w:val="0"/>
          <w:numId w:val="39"/>
        </w:numPr>
        <w:rPr>
          <w:b/>
          <w:szCs w:val="24"/>
        </w:rPr>
      </w:pPr>
      <w:r w:rsidRPr="005830CE">
        <w:rPr>
          <w:b/>
          <w:szCs w:val="24"/>
        </w:rPr>
        <w:t>clarify in the regulations that the qualifying period for the lower rate mobility component can be served before a child’s 5</w:t>
      </w:r>
      <w:r w:rsidRPr="005830CE">
        <w:rPr>
          <w:b/>
          <w:szCs w:val="24"/>
          <w:vertAlign w:val="superscript"/>
        </w:rPr>
        <w:t>th</w:t>
      </w:r>
      <w:r w:rsidRPr="005830CE">
        <w:rPr>
          <w:b/>
          <w:szCs w:val="24"/>
        </w:rPr>
        <w:t xml:space="preserve"> birthday;</w:t>
      </w:r>
    </w:p>
    <w:p w:rsidR="008A7E88" w:rsidRPr="005830CE" w:rsidRDefault="008A7E88" w:rsidP="008A7E88">
      <w:pPr>
        <w:pStyle w:val="ListParagraph"/>
        <w:numPr>
          <w:ilvl w:val="0"/>
          <w:numId w:val="39"/>
        </w:numPr>
        <w:rPr>
          <w:b/>
          <w:szCs w:val="24"/>
        </w:rPr>
      </w:pPr>
      <w:r w:rsidRPr="005830CE">
        <w:rPr>
          <w:b/>
          <w:szCs w:val="24"/>
        </w:rPr>
        <w:t>attend to the technical issues noted in relation to start dates for entitlement.</w:t>
      </w:r>
    </w:p>
    <w:p w:rsidR="008A7E88" w:rsidRDefault="008A7E88" w:rsidP="008A7E88">
      <w:pPr>
        <w:rPr>
          <w:b/>
        </w:rPr>
      </w:pPr>
    </w:p>
    <w:p w:rsidR="008A7E88" w:rsidRPr="005830CE" w:rsidRDefault="008A7E88" w:rsidP="008A7E88">
      <w:pPr>
        <w:rPr>
          <w:b/>
        </w:rPr>
      </w:pPr>
      <w:r w:rsidRPr="005830CE">
        <w:rPr>
          <w:b/>
        </w:rPr>
        <w:t>Recommendation</w:t>
      </w:r>
      <w:r>
        <w:rPr>
          <w:b/>
        </w:rPr>
        <w:t xml:space="preserve"> 10</w:t>
      </w:r>
      <w:r w:rsidRPr="005830CE">
        <w:rPr>
          <w:b/>
        </w:rPr>
        <w:t>: The Scottish Government should amend the regulations so that the general rule is that a child has a right to receive their correct entitlement fully backdated when an official error has caused an underpayment.</w:t>
      </w:r>
    </w:p>
    <w:p w:rsidR="008A7E88" w:rsidRDefault="008A7E88" w:rsidP="008A7E88">
      <w:pPr>
        <w:rPr>
          <w:b/>
        </w:rPr>
      </w:pPr>
    </w:p>
    <w:p w:rsidR="008A7E88" w:rsidRDefault="008A7E88" w:rsidP="008A7E88">
      <w:pPr>
        <w:rPr>
          <w:b/>
        </w:rPr>
      </w:pPr>
      <w:r w:rsidRPr="005830CE">
        <w:rPr>
          <w:b/>
        </w:rPr>
        <w:t>Recommendation</w:t>
      </w:r>
      <w:r>
        <w:rPr>
          <w:b/>
        </w:rPr>
        <w:t xml:space="preserve"> 11</w:t>
      </w:r>
      <w:r w:rsidRPr="005830CE">
        <w:rPr>
          <w:b/>
        </w:rPr>
        <w:t>: The Scottish Government should</w:t>
      </w:r>
      <w:r>
        <w:rPr>
          <w:b/>
        </w:rPr>
        <w:t>:</w:t>
      </w:r>
    </w:p>
    <w:p w:rsidR="008A7E88" w:rsidRPr="000433D2" w:rsidRDefault="008A7E88" w:rsidP="008A7E88">
      <w:pPr>
        <w:pStyle w:val="ListParagraph"/>
        <w:numPr>
          <w:ilvl w:val="0"/>
          <w:numId w:val="46"/>
        </w:numPr>
        <w:rPr>
          <w:b/>
        </w:rPr>
      </w:pPr>
      <w:r w:rsidRPr="00680E54">
        <w:rPr>
          <w:b/>
        </w:rPr>
        <w:t xml:space="preserve">ensure that the policy intention on flexible payment methods </w:t>
      </w:r>
      <w:r w:rsidRPr="000433D2">
        <w:rPr>
          <w:b/>
        </w:rPr>
        <w:t>for young people is fully realised in the regulations;</w:t>
      </w:r>
    </w:p>
    <w:p w:rsidR="008A7E88" w:rsidRPr="000433D2" w:rsidRDefault="008A7E88" w:rsidP="008A7E88">
      <w:pPr>
        <w:pStyle w:val="ListParagraph"/>
        <w:numPr>
          <w:ilvl w:val="0"/>
          <w:numId w:val="46"/>
        </w:numPr>
      </w:pPr>
      <w:r w:rsidRPr="000433D2">
        <w:rPr>
          <w:b/>
        </w:rPr>
        <w:lastRenderedPageBreak/>
        <w:t>ensure that regulation 30(6) achieves the policy intention of paying the equivalent of 8 more weeks CDP if a child dies.</w:t>
      </w:r>
    </w:p>
    <w:p w:rsidR="008A7E88" w:rsidRDefault="008A7E88" w:rsidP="008A7E88">
      <w:pPr>
        <w:rPr>
          <w:b/>
          <w:szCs w:val="22"/>
        </w:rPr>
      </w:pPr>
    </w:p>
    <w:p w:rsidR="008A7E88" w:rsidRPr="005830CE" w:rsidRDefault="008A7E88" w:rsidP="008A7E88">
      <w:pPr>
        <w:rPr>
          <w:b/>
          <w:szCs w:val="22"/>
        </w:rPr>
      </w:pPr>
      <w:r w:rsidRPr="005830CE">
        <w:rPr>
          <w:b/>
          <w:szCs w:val="22"/>
        </w:rPr>
        <w:t>Recommendation</w:t>
      </w:r>
      <w:r>
        <w:rPr>
          <w:b/>
          <w:szCs w:val="22"/>
        </w:rPr>
        <w:t xml:space="preserve"> 12</w:t>
      </w:r>
      <w:r w:rsidRPr="005830CE">
        <w:rPr>
          <w:b/>
          <w:szCs w:val="22"/>
        </w:rPr>
        <w:t xml:space="preserve">: The Scottish Government should consider how to amend the past presence test for CDP to </w:t>
      </w:r>
      <w:r>
        <w:rPr>
          <w:b/>
          <w:szCs w:val="22"/>
        </w:rPr>
        <w:t>ensure that it complies</w:t>
      </w:r>
      <w:r w:rsidRPr="005830CE">
        <w:rPr>
          <w:b/>
          <w:szCs w:val="22"/>
        </w:rPr>
        <w:t xml:space="preserve"> with human rights legislation.</w:t>
      </w:r>
    </w:p>
    <w:p w:rsidR="008A7E88" w:rsidRDefault="008A7E88" w:rsidP="008A7E88">
      <w:pPr>
        <w:tabs>
          <w:tab w:val="left" w:pos="4680"/>
          <w:tab w:val="left" w:pos="5400"/>
          <w:tab w:val="right" w:pos="9000"/>
        </w:tabs>
        <w:rPr>
          <w:b/>
          <w:szCs w:val="22"/>
        </w:rPr>
      </w:pPr>
    </w:p>
    <w:p w:rsidR="008A7E88" w:rsidRPr="002A7FFA" w:rsidRDefault="008A7E88" w:rsidP="008A7E88">
      <w:pPr>
        <w:tabs>
          <w:tab w:val="left" w:pos="4680"/>
          <w:tab w:val="left" w:pos="5400"/>
          <w:tab w:val="right" w:pos="9000"/>
        </w:tabs>
        <w:rPr>
          <w:b/>
          <w:szCs w:val="22"/>
        </w:rPr>
      </w:pPr>
      <w:r w:rsidRPr="005830CE">
        <w:rPr>
          <w:b/>
          <w:szCs w:val="22"/>
        </w:rPr>
        <w:t>Observation</w:t>
      </w:r>
      <w:r>
        <w:rPr>
          <w:b/>
          <w:szCs w:val="22"/>
        </w:rPr>
        <w:t xml:space="preserve"> 4</w:t>
      </w:r>
      <w:r w:rsidRPr="005830CE">
        <w:rPr>
          <w:b/>
          <w:szCs w:val="22"/>
        </w:rPr>
        <w:t xml:space="preserve">: We would welcome further information on how the Scottish Government plans to ensure that young people do not experience a gap in payments as they transition from CDP to </w:t>
      </w:r>
      <w:r>
        <w:rPr>
          <w:b/>
          <w:szCs w:val="22"/>
        </w:rPr>
        <w:t xml:space="preserve">an </w:t>
      </w:r>
      <w:r w:rsidRPr="005830CE">
        <w:rPr>
          <w:b/>
          <w:szCs w:val="22"/>
        </w:rPr>
        <w:t>adult disability benefit.</w:t>
      </w:r>
    </w:p>
    <w:p w:rsidR="008A7E88" w:rsidRDefault="008A7E88" w:rsidP="002A7FFA">
      <w:pPr>
        <w:autoSpaceDE/>
        <w:autoSpaceDN/>
        <w:adjustRightInd/>
        <w:spacing w:after="160" w:line="259" w:lineRule="auto"/>
        <w:rPr>
          <w:b/>
        </w:rPr>
      </w:pPr>
    </w:p>
    <w:p w:rsidR="008A7E88" w:rsidRPr="002A7FFA" w:rsidRDefault="008A7E88" w:rsidP="002A7FFA">
      <w:pPr>
        <w:autoSpaceDE/>
        <w:autoSpaceDN/>
        <w:adjustRightInd/>
        <w:spacing w:after="160" w:line="259" w:lineRule="auto"/>
        <w:rPr>
          <w:b/>
        </w:rPr>
      </w:pPr>
    </w:p>
    <w:p w:rsidR="004C258F" w:rsidRPr="002A7FFA" w:rsidRDefault="004C258F">
      <w:pPr>
        <w:autoSpaceDE/>
        <w:autoSpaceDN/>
        <w:adjustRightInd/>
        <w:spacing w:after="160" w:line="259" w:lineRule="auto"/>
        <w:rPr>
          <w:b/>
        </w:rPr>
      </w:pPr>
      <w:r w:rsidRPr="002A7FFA">
        <w:rPr>
          <w:b/>
        </w:rPr>
        <w:br w:type="page"/>
      </w:r>
    </w:p>
    <w:p w:rsidR="0000119C" w:rsidRPr="005830CE" w:rsidRDefault="0000119C" w:rsidP="0000119C">
      <w:pPr>
        <w:pStyle w:val="Heading1"/>
        <w:spacing w:after="0"/>
        <w:contextualSpacing/>
        <w:rPr>
          <w:rFonts w:cs="Arial"/>
          <w:b/>
          <w:sz w:val="32"/>
        </w:rPr>
      </w:pPr>
      <w:bookmarkStart w:id="1" w:name="_Toc59010230"/>
      <w:bookmarkStart w:id="2" w:name="annexB"/>
      <w:r w:rsidRPr="005830CE">
        <w:rPr>
          <w:rFonts w:cs="Arial"/>
          <w:b/>
          <w:sz w:val="32"/>
        </w:rPr>
        <w:lastRenderedPageBreak/>
        <w:t>Introduction</w:t>
      </w:r>
      <w:bookmarkEnd w:id="1"/>
    </w:p>
    <w:p w:rsidR="0000119C" w:rsidRPr="005830CE" w:rsidRDefault="0000119C" w:rsidP="0000119C"/>
    <w:p w:rsidR="0000119C" w:rsidRPr="005830CE" w:rsidRDefault="00265DC9" w:rsidP="0000119C">
      <w:r w:rsidRPr="005830CE">
        <w:t>The Scottish Commission on Social Security (</w:t>
      </w:r>
      <w:r w:rsidR="0000119C" w:rsidRPr="005830CE">
        <w:t>SCoSS</w:t>
      </w:r>
      <w:r w:rsidRPr="005830CE">
        <w:t>)</w:t>
      </w:r>
      <w:r w:rsidR="0000119C" w:rsidRPr="005830CE">
        <w:t xml:space="preserve"> present</w:t>
      </w:r>
      <w:r w:rsidRPr="005830CE">
        <w:t>s</w:t>
      </w:r>
      <w:r w:rsidR="0000119C" w:rsidRPr="005830CE">
        <w:t xml:space="preserve"> </w:t>
      </w:r>
      <w:r w:rsidRPr="005830CE">
        <w:t xml:space="preserve">its </w:t>
      </w:r>
      <w:r w:rsidR="0041087A" w:rsidRPr="005830CE">
        <w:t xml:space="preserve">supplementary </w:t>
      </w:r>
      <w:r w:rsidR="0000119C" w:rsidRPr="005830CE">
        <w:t xml:space="preserve">report on </w:t>
      </w:r>
      <w:r w:rsidRPr="005830CE">
        <w:t xml:space="preserve">revised </w:t>
      </w:r>
      <w:r w:rsidR="0000119C" w:rsidRPr="005830CE">
        <w:t>draft Disability Assistance for Children and Young People (Scotland) Regulations.</w:t>
      </w:r>
      <w:r w:rsidR="001E6990">
        <w:rPr>
          <w:rStyle w:val="FootnoteReference"/>
        </w:rPr>
        <w:footnoteReference w:id="1"/>
      </w:r>
      <w:r w:rsidR="0000119C" w:rsidRPr="005830CE">
        <w:t xml:space="preserve"> </w:t>
      </w:r>
    </w:p>
    <w:p w:rsidR="0000119C" w:rsidRPr="005830CE" w:rsidRDefault="0000119C" w:rsidP="0000119C"/>
    <w:p w:rsidR="0000119C" w:rsidRPr="005830CE" w:rsidRDefault="0000119C" w:rsidP="0000119C">
      <w:r w:rsidRPr="005830CE">
        <w:t>SCoSS originally reported</w:t>
      </w:r>
      <w:r w:rsidRPr="005830CE">
        <w:rPr>
          <w:rStyle w:val="FootnoteReference"/>
        </w:rPr>
        <w:footnoteReference w:id="2"/>
      </w:r>
      <w:r w:rsidRPr="005830CE">
        <w:t xml:space="preserve"> on draft Disability Assistance for Children and Young People (‘DACYP’) regulations</w:t>
      </w:r>
      <w:r w:rsidRPr="005830CE">
        <w:rPr>
          <w:rStyle w:val="FootnoteReference"/>
        </w:rPr>
        <w:footnoteReference w:id="3"/>
      </w:r>
      <w:r w:rsidRPr="005830CE">
        <w:t xml:space="preserve"> on 9 March 2020 (‘the original draft regulations’). </w:t>
      </w:r>
      <w:r w:rsidR="006735DB" w:rsidRPr="005830CE">
        <w:t>However, t</w:t>
      </w:r>
      <w:r w:rsidRPr="005830CE">
        <w:t xml:space="preserve">he original draft regulations were not laid in the Scottish Parliament and the Scottish Government </w:t>
      </w:r>
      <w:r w:rsidR="006735DB" w:rsidRPr="005830CE">
        <w:t xml:space="preserve">has </w:t>
      </w:r>
      <w:r w:rsidRPr="005830CE">
        <w:t>not</w:t>
      </w:r>
      <w:r w:rsidR="009B0CD4" w:rsidRPr="005830CE">
        <w:t xml:space="preserve"> </w:t>
      </w:r>
      <w:r w:rsidR="006735DB" w:rsidRPr="005830CE">
        <w:t xml:space="preserve">yet </w:t>
      </w:r>
      <w:r w:rsidRPr="005830CE">
        <w:t>formally respond</w:t>
      </w:r>
      <w:r w:rsidR="006735DB" w:rsidRPr="005830CE">
        <w:t>ed</w:t>
      </w:r>
      <w:r w:rsidRPr="005830CE">
        <w:t xml:space="preserve"> to our scrutiny</w:t>
      </w:r>
      <w:r w:rsidR="00833999">
        <w:t xml:space="preserve"> report.</w:t>
      </w:r>
    </w:p>
    <w:p w:rsidR="0000119C" w:rsidRPr="005830CE" w:rsidRDefault="0000119C" w:rsidP="0000119C"/>
    <w:p w:rsidR="006735DB" w:rsidRPr="005830CE" w:rsidRDefault="0000119C" w:rsidP="006735DB">
      <w:r w:rsidRPr="005830CE">
        <w:t xml:space="preserve">The Cabinet Secretary for Social Security and Older People formally referred </w:t>
      </w:r>
      <w:r w:rsidR="005227DA" w:rsidRPr="005830CE">
        <w:t xml:space="preserve">the </w:t>
      </w:r>
      <w:r w:rsidRPr="005830CE">
        <w:t>revised draft regulations to SCoSS on 29 October 2020.</w:t>
      </w:r>
      <w:r w:rsidRPr="005830CE">
        <w:rPr>
          <w:rStyle w:val="FootnoteReference"/>
        </w:rPr>
        <w:footnoteReference w:id="4"/>
      </w:r>
      <w:r w:rsidRPr="005830CE">
        <w:t xml:space="preserve"> In doing so, the Cabinet Secretary noted that the impact of coronavirus had “posed particular challenges for our plans to deliver disability assistance” but that work had continued on developing DACYP. </w:t>
      </w:r>
      <w:r w:rsidR="009B0CD4" w:rsidRPr="005830CE">
        <w:t>T</w:t>
      </w:r>
      <w:r w:rsidRPr="005830CE">
        <w:t xml:space="preserve">he Cabinet Secretary </w:t>
      </w:r>
      <w:r w:rsidR="009B0CD4" w:rsidRPr="005830CE">
        <w:t xml:space="preserve">also </w:t>
      </w:r>
      <w:r w:rsidRPr="005830CE">
        <w:t>stated that the revised draft regulations have a “particular focus on responding to the recommendations made by SCoSS”.</w:t>
      </w:r>
      <w:r w:rsidR="009B0CD4" w:rsidRPr="005830CE">
        <w:t xml:space="preserve"> </w:t>
      </w:r>
      <w:r w:rsidR="006735DB" w:rsidRPr="005830CE">
        <w:t>DACYP has also been renamed as Child Disability Payment (CDP).</w:t>
      </w:r>
      <w:r w:rsidR="00FC3945">
        <w:t xml:space="preserve"> </w:t>
      </w:r>
    </w:p>
    <w:p w:rsidR="006735DB" w:rsidRPr="005830CE" w:rsidRDefault="006735DB" w:rsidP="0000119C"/>
    <w:p w:rsidR="0000119C" w:rsidRPr="005830CE" w:rsidRDefault="009B0CD4" w:rsidP="0000119C">
      <w:r w:rsidRPr="005830CE">
        <w:t xml:space="preserve">We expect the Scottish Government to publish its responses to this report and our original report simultaneously, </w:t>
      </w:r>
      <w:r w:rsidR="006735DB" w:rsidRPr="005830CE">
        <w:t xml:space="preserve">at the same time that it </w:t>
      </w:r>
      <w:r w:rsidRPr="005830CE">
        <w:t>lays the revised draft regulations in the Scottish Parliament.</w:t>
      </w:r>
      <w:r w:rsidR="00265DC9" w:rsidRPr="005830CE">
        <w:t xml:space="preserve"> In making recommendations below, we cross-refer to recommendations in our original report where th</w:t>
      </w:r>
      <w:r w:rsidR="005227DA" w:rsidRPr="005830CE">
        <w:t xml:space="preserve">ey are </w:t>
      </w:r>
      <w:r w:rsidR="00265DC9" w:rsidRPr="005830CE">
        <w:t>relevant but otherwise do not repeat text from that report.</w:t>
      </w:r>
      <w:r w:rsidR="00FC3945">
        <w:t xml:space="preserve"> </w:t>
      </w:r>
    </w:p>
    <w:bookmarkEnd w:id="2"/>
    <w:p w:rsidR="0000119C" w:rsidRPr="005830CE" w:rsidRDefault="0000119C" w:rsidP="0000119C">
      <w:pPr>
        <w:rPr>
          <w:b/>
        </w:rPr>
      </w:pPr>
    </w:p>
    <w:p w:rsidR="0000119C" w:rsidRPr="005830CE" w:rsidRDefault="0000119C" w:rsidP="0000119C">
      <w:pPr>
        <w:rPr>
          <w:b/>
        </w:rPr>
      </w:pPr>
    </w:p>
    <w:p w:rsidR="0000119C" w:rsidRPr="005830CE" w:rsidRDefault="0000119C" w:rsidP="0000119C">
      <w:pPr>
        <w:pStyle w:val="Heading2"/>
        <w:spacing w:after="0"/>
        <w:ind w:left="709" w:hanging="709"/>
        <w:contextualSpacing/>
        <w:rPr>
          <w:rFonts w:cs="Arial"/>
          <w:b/>
        </w:rPr>
      </w:pPr>
      <w:bookmarkStart w:id="3" w:name="_Toc34638251"/>
      <w:bookmarkStart w:id="4" w:name="_Toc59010231"/>
      <w:r w:rsidRPr="005830CE">
        <w:rPr>
          <w:rFonts w:cs="Arial"/>
          <w:b/>
        </w:rPr>
        <w:t>Overview</w:t>
      </w:r>
      <w:bookmarkEnd w:id="3"/>
      <w:bookmarkEnd w:id="4"/>
    </w:p>
    <w:p w:rsidR="0000119C" w:rsidRPr="005830CE" w:rsidRDefault="0000119C" w:rsidP="0000119C"/>
    <w:p w:rsidR="0000119C" w:rsidRPr="005830CE" w:rsidRDefault="0000119C" w:rsidP="0000119C">
      <w:pPr>
        <w:rPr>
          <w:szCs w:val="24"/>
        </w:rPr>
      </w:pPr>
      <w:r w:rsidRPr="005830CE">
        <w:rPr>
          <w:szCs w:val="24"/>
        </w:rPr>
        <w:t xml:space="preserve">The Cabinet Secretary </w:t>
      </w:r>
      <w:r w:rsidR="009B0CD4" w:rsidRPr="005830CE">
        <w:rPr>
          <w:szCs w:val="24"/>
        </w:rPr>
        <w:t xml:space="preserve">has </w:t>
      </w:r>
      <w:r w:rsidRPr="005830CE">
        <w:rPr>
          <w:szCs w:val="24"/>
        </w:rPr>
        <w:t>asked the Commission to consider a narrow range of issues arising from the redrafted provisions:</w:t>
      </w:r>
    </w:p>
    <w:p w:rsidR="0000119C" w:rsidRPr="005830CE" w:rsidRDefault="0000119C" w:rsidP="0000119C">
      <w:pPr>
        <w:pStyle w:val="ListParagraph"/>
        <w:numPr>
          <w:ilvl w:val="0"/>
          <w:numId w:val="18"/>
        </w:numPr>
        <w:rPr>
          <w:szCs w:val="24"/>
        </w:rPr>
      </w:pPr>
      <w:r w:rsidRPr="005830CE">
        <w:rPr>
          <w:szCs w:val="24"/>
        </w:rPr>
        <w:t>the provisions relating to the periods for requesting and making re-determinations;</w:t>
      </w:r>
    </w:p>
    <w:p w:rsidR="0000119C" w:rsidRPr="005830CE" w:rsidRDefault="0000119C" w:rsidP="0000119C">
      <w:pPr>
        <w:pStyle w:val="ListParagraph"/>
        <w:numPr>
          <w:ilvl w:val="0"/>
          <w:numId w:val="18"/>
        </w:numPr>
        <w:rPr>
          <w:szCs w:val="24"/>
        </w:rPr>
      </w:pPr>
      <w:r w:rsidRPr="005830CE">
        <w:rPr>
          <w:szCs w:val="24"/>
        </w:rPr>
        <w:t>the provisions applicable to the mobility component; and</w:t>
      </w:r>
    </w:p>
    <w:p w:rsidR="0000119C" w:rsidRPr="005830CE" w:rsidRDefault="0000119C" w:rsidP="0000119C">
      <w:pPr>
        <w:pStyle w:val="ListParagraph"/>
        <w:numPr>
          <w:ilvl w:val="0"/>
          <w:numId w:val="18"/>
        </w:numPr>
        <w:rPr>
          <w:szCs w:val="24"/>
        </w:rPr>
      </w:pPr>
      <w:r w:rsidRPr="005830CE">
        <w:rPr>
          <w:szCs w:val="24"/>
        </w:rPr>
        <w:t>the provisions relating to temporary absences from home, including non-payability of assistance.</w:t>
      </w:r>
    </w:p>
    <w:p w:rsidR="009B0CD4" w:rsidRPr="005830CE" w:rsidRDefault="009B0CD4" w:rsidP="0000119C">
      <w:r w:rsidRPr="005830CE">
        <w:lastRenderedPageBreak/>
        <w:t>We consider these provisions in turn below</w:t>
      </w:r>
      <w:r w:rsidR="00265DC9" w:rsidRPr="005830CE">
        <w:rPr>
          <w:rStyle w:val="FootnoteReference"/>
        </w:rPr>
        <w:footnoteReference w:id="5"/>
      </w:r>
      <w:r w:rsidRPr="005830CE">
        <w:t>, then examine other issues that have changed since SCoSS scrutinised the original draft regulations.</w:t>
      </w:r>
      <w:r w:rsidR="00265DC9" w:rsidRPr="005830CE">
        <w:rPr>
          <w:rStyle w:val="FootnoteReference"/>
        </w:rPr>
        <w:footnoteReference w:id="6"/>
      </w:r>
      <w:r w:rsidRPr="005830CE">
        <w:t xml:space="preserve"> </w:t>
      </w:r>
      <w:r w:rsidR="00584BDF" w:rsidRPr="005830CE">
        <w:t xml:space="preserve">In doing so, we have taken account of </w:t>
      </w:r>
      <w:r w:rsidR="006735DB" w:rsidRPr="005830CE">
        <w:t xml:space="preserve">the </w:t>
      </w:r>
      <w:r w:rsidR="00584BDF" w:rsidRPr="005830CE">
        <w:t>written submissions provided to SCoSS by stakeholders on the draft regulations.</w:t>
      </w:r>
      <w:r w:rsidR="00584BDF" w:rsidRPr="005830CE">
        <w:rPr>
          <w:rStyle w:val="FootnoteReference"/>
        </w:rPr>
        <w:footnoteReference w:id="7"/>
      </w:r>
      <w:r w:rsidR="00584BDF" w:rsidRPr="005830CE">
        <w:t xml:space="preserve"> We thank all those who submitted their views, particularly given the restricted timescales for </w:t>
      </w:r>
      <w:r w:rsidR="00584BDF" w:rsidRPr="00FC3945">
        <w:t>doing so.</w:t>
      </w:r>
      <w:r w:rsidR="005830CE" w:rsidRPr="00FC3945">
        <w:t xml:space="preserve"> The timeline of our scrutiny is contained in the Annex.</w:t>
      </w:r>
      <w:r w:rsidR="005830CE" w:rsidRPr="005830CE">
        <w:t xml:space="preserve"> </w:t>
      </w:r>
    </w:p>
    <w:p w:rsidR="0000119C" w:rsidRPr="005830CE" w:rsidRDefault="0000119C" w:rsidP="0000119C"/>
    <w:p w:rsidR="0000119C" w:rsidRPr="005830CE" w:rsidRDefault="0000119C" w:rsidP="0000119C"/>
    <w:p w:rsidR="0000119C" w:rsidRPr="005830CE" w:rsidRDefault="009B0CD4" w:rsidP="009B0CD4">
      <w:pPr>
        <w:pStyle w:val="Heading1"/>
        <w:rPr>
          <w:rFonts w:cs="Arial"/>
          <w:b/>
          <w:sz w:val="32"/>
          <w:szCs w:val="32"/>
        </w:rPr>
      </w:pPr>
      <w:bookmarkStart w:id="5" w:name="_Toc59010232"/>
      <w:r w:rsidRPr="005830CE">
        <w:rPr>
          <w:rFonts w:cs="Arial"/>
          <w:b/>
          <w:sz w:val="32"/>
          <w:szCs w:val="32"/>
        </w:rPr>
        <w:t>Requesting and making re-determinations</w:t>
      </w:r>
      <w:bookmarkEnd w:id="5"/>
    </w:p>
    <w:p w:rsidR="0000119C" w:rsidRPr="005830CE" w:rsidRDefault="0000119C" w:rsidP="0000119C">
      <w:pPr>
        <w:rPr>
          <w:b/>
        </w:rPr>
      </w:pPr>
    </w:p>
    <w:p w:rsidR="007138F5" w:rsidRPr="002A7FFA" w:rsidRDefault="007138F5" w:rsidP="002A7FFA">
      <w:pPr>
        <w:pStyle w:val="Heading2"/>
        <w:rPr>
          <w:rFonts w:cs="Arial"/>
          <w:b/>
        </w:rPr>
      </w:pPr>
      <w:bookmarkStart w:id="6" w:name="_Toc59010233"/>
      <w:r w:rsidRPr="005830CE">
        <w:rPr>
          <w:rFonts w:cs="Arial"/>
          <w:b/>
          <w:color w:val="000000" w:themeColor="text1"/>
          <w:szCs w:val="24"/>
        </w:rPr>
        <w:t>Time limits for requesting and making re-determinations</w:t>
      </w:r>
      <w:bookmarkEnd w:id="6"/>
    </w:p>
    <w:p w:rsidR="00D20CD1" w:rsidRPr="005830CE" w:rsidRDefault="001A43E9" w:rsidP="001A43E9">
      <w:r w:rsidRPr="005830CE">
        <w:t>The Scottish Government has reviewed timescales for requesting and making re-determinations</w:t>
      </w:r>
      <w:r w:rsidR="008008E2">
        <w:t xml:space="preserve"> for clarity and consistency with existing Scottish benefits</w:t>
      </w:r>
      <w:r w:rsidRPr="005830CE">
        <w:t>. Following the review, there is no change to the timescales proposed in DACYP</w:t>
      </w:r>
      <w:r w:rsidR="003208E5" w:rsidRPr="005830CE">
        <w:t xml:space="preserve"> regulations, set at </w:t>
      </w:r>
      <w:r w:rsidRPr="005830CE">
        <w:t>42 days for the individual to apply and 56 days for Social Security Scotland to make the re-determination. Both timescales are</w:t>
      </w:r>
      <w:r w:rsidR="000749D3" w:rsidRPr="005830CE">
        <w:t xml:space="preserve"> expressed in </w:t>
      </w:r>
      <w:r w:rsidRPr="005830CE">
        <w:t xml:space="preserve">‘days’ </w:t>
      </w:r>
      <w:r w:rsidR="00F51C95" w:rsidRPr="005830CE">
        <w:t xml:space="preserve">(which includes weekends) </w:t>
      </w:r>
      <w:r w:rsidRPr="005830CE">
        <w:t xml:space="preserve">rather than ‘working days’. </w:t>
      </w:r>
      <w:r w:rsidR="00A57C42" w:rsidRPr="005830CE">
        <w:t xml:space="preserve">For all other Scottish benefits, individuals have 16 days to apply for a re-determination and </w:t>
      </w:r>
      <w:r w:rsidR="001E6990">
        <w:t>Social Security Scotland</w:t>
      </w:r>
      <w:r w:rsidR="00A57C42" w:rsidRPr="005830CE">
        <w:t xml:space="preserve"> has 16 working days to make the re-determination.</w:t>
      </w:r>
      <w:r w:rsidR="00D20CD1" w:rsidRPr="005830CE">
        <w:t xml:space="preserve"> The Scottish Government has explained that it intends to use 'days' for disability assistance for both individual and </w:t>
      </w:r>
      <w:r w:rsidR="001E6990">
        <w:t xml:space="preserve">Social Security Scotland </w:t>
      </w:r>
      <w:r w:rsidR="00D20CD1" w:rsidRPr="005830CE">
        <w:t xml:space="preserve">time limits, but 'working days' for </w:t>
      </w:r>
      <w:r w:rsidR="001E6990">
        <w:t>Social Security Scotland</w:t>
      </w:r>
      <w:r w:rsidR="00D20CD1" w:rsidRPr="005830CE">
        <w:t xml:space="preserve"> time limits for other types of assistance</w:t>
      </w:r>
      <w:r w:rsidR="0041087A" w:rsidRPr="005830CE">
        <w:rPr>
          <w:rStyle w:val="FootnoteReference"/>
        </w:rPr>
        <w:footnoteReference w:id="8"/>
      </w:r>
      <w:r w:rsidR="00D20CD1" w:rsidRPr="005830CE">
        <w:t xml:space="preserve">, believing that divergence is appropriate due to the strong preference </w:t>
      </w:r>
      <w:r w:rsidR="00DC3949" w:rsidRPr="005830CE">
        <w:t xml:space="preserve">for this approach </w:t>
      </w:r>
      <w:r w:rsidR="00D20CD1" w:rsidRPr="005830CE">
        <w:t xml:space="preserve">expressed in </w:t>
      </w:r>
      <w:r w:rsidR="00DC3949" w:rsidRPr="005830CE">
        <w:t xml:space="preserve">its </w:t>
      </w:r>
      <w:r w:rsidR="00D20CD1" w:rsidRPr="005830CE">
        <w:t xml:space="preserve">public consultation on Disability Assistance in Scotland. </w:t>
      </w:r>
    </w:p>
    <w:p w:rsidR="001A43E9" w:rsidRPr="005830CE" w:rsidRDefault="001A43E9" w:rsidP="001A43E9"/>
    <w:p w:rsidR="002A7FFA" w:rsidRDefault="001A43E9" w:rsidP="001A43E9">
      <w:r w:rsidRPr="005830CE">
        <w:t>In considering the time limits for requesting and making re-determinations</w:t>
      </w:r>
      <w:r w:rsidR="00DC3949" w:rsidRPr="005830CE">
        <w:t xml:space="preserve"> for CDP</w:t>
      </w:r>
      <w:r w:rsidRPr="005830CE">
        <w:t xml:space="preserve">, </w:t>
      </w:r>
      <w:r w:rsidR="00D20CD1" w:rsidRPr="005830CE">
        <w:t>SCoSS has</w:t>
      </w:r>
      <w:r w:rsidRPr="005830CE">
        <w:t xml:space="preserve"> been guided by the Charter which requires that processes should be simple and clear, and applications and enquiries should be dealt with by Social Security Scotland as quickly as they can.</w:t>
      </w:r>
      <w:r w:rsidR="00DC3949" w:rsidRPr="005830CE">
        <w:rPr>
          <w:rStyle w:val="FootnoteReference"/>
        </w:rPr>
        <w:footnoteReference w:id="9"/>
      </w:r>
      <w:r w:rsidR="004C258F" w:rsidRPr="005830CE">
        <w:t xml:space="preserve"> </w:t>
      </w:r>
      <w:bookmarkStart w:id="7" w:name="_GoBack"/>
      <w:bookmarkEnd w:id="7"/>
    </w:p>
    <w:p w:rsidR="00666F2E" w:rsidRPr="005830CE" w:rsidRDefault="00DE677E" w:rsidP="001A43E9">
      <w:r>
        <w:lastRenderedPageBreak/>
        <w:t>Turning first to t</w:t>
      </w:r>
      <w:r w:rsidR="00666F2E" w:rsidRPr="005830CE">
        <w:t xml:space="preserve">imescales for </w:t>
      </w:r>
      <w:r w:rsidR="00B62470">
        <w:t>Social Security Scotland</w:t>
      </w:r>
      <w:r w:rsidR="00666F2E" w:rsidRPr="005830CE">
        <w:t xml:space="preserve"> </w:t>
      </w:r>
      <w:r w:rsidR="00630926">
        <w:t>to make a re-determination</w:t>
      </w:r>
      <w:r>
        <w:t xml:space="preserve">, we consider that </w:t>
      </w:r>
      <w:r w:rsidR="0032730A">
        <w:t>CDP does not</w:t>
      </w:r>
      <w:r w:rsidR="00630926">
        <w:t xml:space="preserve"> </w:t>
      </w:r>
      <w:r w:rsidR="00666F2E" w:rsidRPr="005830CE">
        <w:t xml:space="preserve">need </w:t>
      </w:r>
      <w:r w:rsidR="0032730A">
        <w:t>to</w:t>
      </w:r>
      <w:r w:rsidR="0032730A" w:rsidRPr="005830CE">
        <w:t xml:space="preserve"> </w:t>
      </w:r>
      <w:r w:rsidR="00666F2E" w:rsidRPr="005830CE">
        <w:t xml:space="preserve">be aligned </w:t>
      </w:r>
      <w:r w:rsidR="0032730A">
        <w:t>with existing Scottish</w:t>
      </w:r>
      <w:r w:rsidR="00B62470">
        <w:t xml:space="preserve"> benefits</w:t>
      </w:r>
      <w:r w:rsidR="006C1E97">
        <w:t xml:space="preserve"> </w:t>
      </w:r>
      <w:r w:rsidR="00666F2E" w:rsidRPr="005830CE">
        <w:t xml:space="preserve">as ‘working days’ as long as the divergence is completely clear to staff, particularly those working across benefits, and </w:t>
      </w:r>
      <w:r w:rsidR="00DB0696" w:rsidRPr="005830CE">
        <w:t xml:space="preserve">can </w:t>
      </w:r>
      <w:r w:rsidR="008A3862" w:rsidRPr="005830CE">
        <w:t xml:space="preserve">be </w:t>
      </w:r>
      <w:r w:rsidR="00666F2E" w:rsidRPr="005830CE">
        <w:t>accurately represented in management information and reporting.</w:t>
      </w:r>
      <w:r w:rsidR="00143653">
        <w:t xml:space="preserve"> Our original report considered some of the pros and cons of setting the time limit </w:t>
      </w:r>
      <w:r w:rsidR="00E30CAD">
        <w:t xml:space="preserve">for CDP </w:t>
      </w:r>
      <w:r w:rsidR="00143653">
        <w:t>at 56 days.</w:t>
      </w:r>
      <w:r w:rsidR="00143653">
        <w:rPr>
          <w:rStyle w:val="FootnoteReference"/>
        </w:rPr>
        <w:footnoteReference w:id="10"/>
      </w:r>
      <w:r w:rsidR="005505D7">
        <w:t xml:space="preserve"> For </w:t>
      </w:r>
      <w:r w:rsidR="00D62920">
        <w:t>existing</w:t>
      </w:r>
      <w:r w:rsidR="005505D7">
        <w:t xml:space="preserve"> Scottish benefits, 97 per cent of re-determinations are completed within the 16 working days allowed</w:t>
      </w:r>
      <w:r w:rsidR="00D62920">
        <w:t>,</w:t>
      </w:r>
      <w:r w:rsidR="00895D73">
        <w:t xml:space="preserve"> suggesting that the timescale</w:t>
      </w:r>
      <w:r w:rsidR="005505D7">
        <w:t xml:space="preserve"> </w:t>
      </w:r>
      <w:r w:rsidR="00895D73">
        <w:t>is</w:t>
      </w:r>
      <w:r w:rsidR="005505D7">
        <w:t xml:space="preserve"> reasonable </w:t>
      </w:r>
      <w:r w:rsidR="00895D73">
        <w:t xml:space="preserve">for those benefits </w:t>
      </w:r>
      <w:r w:rsidR="005505D7">
        <w:t>and hold</w:t>
      </w:r>
      <w:r w:rsidR="00895D73">
        <w:t>s</w:t>
      </w:r>
      <w:r w:rsidR="005505D7">
        <w:t xml:space="preserve"> Social Security Scotland to quick responses</w:t>
      </w:r>
      <w:r w:rsidR="00FC3945">
        <w:t>,</w:t>
      </w:r>
      <w:r w:rsidR="005505D7">
        <w:t xml:space="preserve"> which is in line with Charter expectations. </w:t>
      </w:r>
      <w:r w:rsidR="00895D73">
        <w:t xml:space="preserve">However, </w:t>
      </w:r>
      <w:r w:rsidR="009105B6">
        <w:t>CDP</w:t>
      </w:r>
      <w:r w:rsidR="00FC2886">
        <w:t xml:space="preserve"> is a m</w:t>
      </w:r>
      <w:r w:rsidR="00E308CF">
        <w:t>ore complex benefit and it is important that Social Security Scotland has enough time to make fully informed re-determinations</w:t>
      </w:r>
      <w:r w:rsidR="00FC2886">
        <w:t>.</w:t>
      </w:r>
      <w:r w:rsidR="009105B6">
        <w:t xml:space="preserve"> </w:t>
      </w:r>
      <w:r w:rsidR="00E26214">
        <w:t>56 days may strike a reasonable balance between speed and accuracy, but t</w:t>
      </w:r>
      <w:r w:rsidR="006A0FA1" w:rsidRPr="005830CE">
        <w:t>he optimum time limit will need to be kept under review.</w:t>
      </w:r>
    </w:p>
    <w:p w:rsidR="00630926" w:rsidRDefault="00630926" w:rsidP="00630926"/>
    <w:p w:rsidR="00143653" w:rsidRPr="00FC3945" w:rsidRDefault="00630926" w:rsidP="00630926">
      <w:r w:rsidRPr="00FC3945">
        <w:t xml:space="preserve">However, alignment is more important when it comes to timescales for individuals. </w:t>
      </w:r>
      <w:r w:rsidR="00EE4B74" w:rsidRPr="00FC3945">
        <w:t xml:space="preserve">We agree that timescales for individuals are best expressed in ‘days’ and consider that </w:t>
      </w:r>
      <w:r w:rsidR="00143653" w:rsidRPr="00FC3945">
        <w:t>the number of days allowed is</w:t>
      </w:r>
      <w:r w:rsidR="00EE4B74" w:rsidRPr="00FC3945">
        <w:t xml:space="preserve"> best aligned across Scottish benefits. Having different timescales for different benefits could be confusing for individuals and their advisers.</w:t>
      </w:r>
      <w:r w:rsidR="00143653" w:rsidRPr="00FC3945">
        <w:t xml:space="preserve"> </w:t>
      </w:r>
      <w:r w:rsidRPr="00FC3945">
        <w:t>Fair outcomes of re-determinations and appeals will be a measure of success of disability assistance</w:t>
      </w:r>
      <w:r w:rsidR="008D4C3D" w:rsidRPr="00FC3945">
        <w:t xml:space="preserve"> and a</w:t>
      </w:r>
      <w:r w:rsidRPr="00FC3945">
        <w:t xml:space="preserve">ny potential barrier should be kept under review and removed where possible. </w:t>
      </w:r>
    </w:p>
    <w:p w:rsidR="00143653" w:rsidRDefault="00143653" w:rsidP="00630926"/>
    <w:p w:rsidR="001135A1" w:rsidRPr="005830CE" w:rsidRDefault="001135A1" w:rsidP="00584BDF">
      <w:pPr>
        <w:rPr>
          <w:b/>
        </w:rPr>
      </w:pPr>
      <w:r w:rsidRPr="005830CE">
        <w:rPr>
          <w:b/>
        </w:rPr>
        <w:t>Recommendation</w:t>
      </w:r>
      <w:r w:rsidR="002A7FFA">
        <w:rPr>
          <w:b/>
        </w:rPr>
        <w:t xml:space="preserve"> 1</w:t>
      </w:r>
      <w:r w:rsidRPr="005830CE">
        <w:rPr>
          <w:b/>
        </w:rPr>
        <w:t xml:space="preserve">: </w:t>
      </w:r>
      <w:r w:rsidR="003B3D20" w:rsidRPr="005830CE">
        <w:rPr>
          <w:b/>
        </w:rPr>
        <w:t>In evaluating the delivery of CDP, t</w:t>
      </w:r>
      <w:r w:rsidR="00867739" w:rsidRPr="005830CE">
        <w:rPr>
          <w:b/>
        </w:rPr>
        <w:t>he Scot</w:t>
      </w:r>
      <w:r w:rsidR="003B3D20" w:rsidRPr="005830CE">
        <w:rPr>
          <w:b/>
        </w:rPr>
        <w:t xml:space="preserve">tish Government should assess </w:t>
      </w:r>
      <w:r w:rsidR="00867739" w:rsidRPr="005830CE">
        <w:rPr>
          <w:b/>
        </w:rPr>
        <w:t>whether the timescales to apply for re</w:t>
      </w:r>
      <w:r w:rsidR="00825809">
        <w:rPr>
          <w:b/>
        </w:rPr>
        <w:t>-</w:t>
      </w:r>
      <w:r w:rsidR="00867739" w:rsidRPr="005830CE">
        <w:rPr>
          <w:b/>
        </w:rPr>
        <w:t>determinations meet applicants’ needs.</w:t>
      </w:r>
      <w:r w:rsidR="004C258F" w:rsidRPr="005830CE">
        <w:rPr>
          <w:b/>
        </w:rPr>
        <w:t xml:space="preserve"> </w:t>
      </w:r>
      <w:r w:rsidR="00530DAE" w:rsidRPr="005830CE">
        <w:rPr>
          <w:b/>
        </w:rPr>
        <w:t xml:space="preserve">Social Security Scotland </w:t>
      </w:r>
      <w:r w:rsidR="00867739" w:rsidRPr="005830CE">
        <w:rPr>
          <w:b/>
        </w:rPr>
        <w:t>should gather and publish information on reasons and outcomes where re</w:t>
      </w:r>
      <w:r w:rsidR="00825809">
        <w:rPr>
          <w:b/>
        </w:rPr>
        <w:t>-</w:t>
      </w:r>
      <w:r w:rsidR="00867739" w:rsidRPr="005830CE">
        <w:rPr>
          <w:b/>
        </w:rPr>
        <w:t>determination requests are received outside the time limit.</w:t>
      </w:r>
    </w:p>
    <w:p w:rsidR="004C258F" w:rsidRPr="005830CE" w:rsidRDefault="004C258F" w:rsidP="00584BDF">
      <w:pPr>
        <w:rPr>
          <w:b/>
        </w:rPr>
      </w:pPr>
    </w:p>
    <w:p w:rsidR="004C258F" w:rsidRPr="005830CE" w:rsidRDefault="004C258F" w:rsidP="00584BDF">
      <w:pPr>
        <w:rPr>
          <w:b/>
        </w:rPr>
      </w:pPr>
    </w:p>
    <w:p w:rsidR="0070664E" w:rsidRPr="002A7FFA" w:rsidRDefault="0070664E" w:rsidP="0070664E">
      <w:pPr>
        <w:pStyle w:val="Heading1"/>
        <w:rPr>
          <w:rFonts w:cs="Arial"/>
          <w:b/>
          <w:sz w:val="32"/>
          <w:szCs w:val="32"/>
        </w:rPr>
      </w:pPr>
      <w:bookmarkStart w:id="8" w:name="_Toc59010234"/>
      <w:r w:rsidRPr="005830CE">
        <w:rPr>
          <w:rFonts w:cs="Arial"/>
          <w:b/>
          <w:sz w:val="32"/>
          <w:szCs w:val="32"/>
        </w:rPr>
        <w:t>Mobility component</w:t>
      </w:r>
      <w:bookmarkEnd w:id="8"/>
    </w:p>
    <w:p w:rsidR="004E1DE3" w:rsidRPr="005830CE" w:rsidRDefault="004E1DE3" w:rsidP="00A07717">
      <w:pPr>
        <w:pStyle w:val="Heading2"/>
        <w:rPr>
          <w:rFonts w:cs="Arial"/>
          <w:b/>
          <w:color w:val="000000" w:themeColor="text1"/>
          <w:szCs w:val="24"/>
        </w:rPr>
      </w:pPr>
      <w:bookmarkStart w:id="9" w:name="_Toc59010235"/>
      <w:r w:rsidRPr="005830CE">
        <w:rPr>
          <w:rFonts w:cs="Arial"/>
          <w:b/>
          <w:color w:val="000000" w:themeColor="text1"/>
          <w:szCs w:val="24"/>
        </w:rPr>
        <w:t>Severe visual impairment route to higher rate mobility</w:t>
      </w:r>
      <w:bookmarkEnd w:id="9"/>
    </w:p>
    <w:p w:rsidR="006A5B00" w:rsidRPr="005830CE" w:rsidRDefault="006735DB" w:rsidP="00410231">
      <w:r w:rsidRPr="005830CE">
        <w:t>Our original report</w:t>
      </w:r>
      <w:r w:rsidR="00410231" w:rsidRPr="005830CE">
        <w:t xml:space="preserve"> noted that children </w:t>
      </w:r>
      <w:r w:rsidR="00467EA8" w:rsidRPr="005830CE">
        <w:t>in Scotland</w:t>
      </w:r>
      <w:r w:rsidR="00410231" w:rsidRPr="005830CE">
        <w:t xml:space="preserve"> with a </w:t>
      </w:r>
      <w:r w:rsidR="00C209B4" w:rsidRPr="005830CE">
        <w:t>visual</w:t>
      </w:r>
      <w:r w:rsidR="00410231" w:rsidRPr="005830CE">
        <w:t xml:space="preserve"> impairment </w:t>
      </w:r>
      <w:r w:rsidR="00467EA8" w:rsidRPr="005830CE">
        <w:t xml:space="preserve">are </w:t>
      </w:r>
      <w:r w:rsidR="00A13C21" w:rsidRPr="005830CE">
        <w:t xml:space="preserve">assessed under </w:t>
      </w:r>
      <w:r w:rsidR="00410231" w:rsidRPr="005830CE">
        <w:t>the Visual Impairment Network for Children and Young People</w:t>
      </w:r>
      <w:r w:rsidRPr="005830CE">
        <w:t xml:space="preserve"> (VINCYP)</w:t>
      </w:r>
      <w:r w:rsidR="00467EA8" w:rsidRPr="005830CE">
        <w:t>. As a result,</w:t>
      </w:r>
      <w:r w:rsidR="00A13C21" w:rsidRPr="005830CE">
        <w:t xml:space="preserve"> </w:t>
      </w:r>
      <w:r w:rsidR="00E57BE0">
        <w:t>the test of severe visual impairment for Disability Living Allowance (DLA) and hence also in the original draft DACYP regulations</w:t>
      </w:r>
      <w:r w:rsidR="003E44BF">
        <w:t xml:space="preserve">, </w:t>
      </w:r>
      <w:r w:rsidR="00A13C21" w:rsidRPr="005830CE">
        <w:t xml:space="preserve">were not a good fit with </w:t>
      </w:r>
      <w:r w:rsidRPr="005830CE">
        <w:t xml:space="preserve">existing </w:t>
      </w:r>
      <w:r w:rsidR="00A13C21" w:rsidRPr="005830CE">
        <w:lastRenderedPageBreak/>
        <w:t xml:space="preserve">best practice. </w:t>
      </w:r>
      <w:r w:rsidR="001C470A">
        <w:t>Therefore</w:t>
      </w:r>
      <w:r w:rsidR="00FC3945">
        <w:t>,</w:t>
      </w:r>
      <w:r w:rsidR="00736778" w:rsidRPr="005830CE">
        <w:t xml:space="preserve"> </w:t>
      </w:r>
      <w:r w:rsidR="00A13C21" w:rsidRPr="005830CE">
        <w:t xml:space="preserve">SCoSS recommended that the </w:t>
      </w:r>
      <w:r w:rsidR="00410231" w:rsidRPr="005830CE">
        <w:t xml:space="preserve">Scottish Government should review the eligibility criteria </w:t>
      </w:r>
      <w:r w:rsidR="00A13C21" w:rsidRPr="005830CE">
        <w:t xml:space="preserve">for </w:t>
      </w:r>
      <w:r w:rsidR="00E90B69">
        <w:t xml:space="preserve">the </w:t>
      </w:r>
      <w:r w:rsidR="00A13C21" w:rsidRPr="005830CE">
        <w:t xml:space="preserve">higher rate mobility </w:t>
      </w:r>
      <w:r w:rsidR="00E90B69">
        <w:t xml:space="preserve">component </w:t>
      </w:r>
      <w:r w:rsidR="00410231" w:rsidRPr="005830CE">
        <w:t>for children who a</w:t>
      </w:r>
      <w:r w:rsidR="00A13C21" w:rsidRPr="005830CE">
        <w:t xml:space="preserve">re visually impaired. </w:t>
      </w:r>
    </w:p>
    <w:p w:rsidR="00A13C21" w:rsidRPr="005830CE" w:rsidRDefault="00A13C21" w:rsidP="00410231">
      <w:pPr>
        <w:rPr>
          <w:lang w:val="en-US"/>
        </w:rPr>
      </w:pPr>
    </w:p>
    <w:p w:rsidR="00A13C21" w:rsidRDefault="008420AB" w:rsidP="00410231">
      <w:pPr>
        <w:rPr>
          <w:lang w:val="en-US"/>
        </w:rPr>
      </w:pPr>
      <w:r w:rsidRPr="005830CE">
        <w:rPr>
          <w:lang w:val="en-US"/>
        </w:rPr>
        <w:t>We are pleased to see that r</w:t>
      </w:r>
      <w:r w:rsidR="00A13C21" w:rsidRPr="005830CE">
        <w:rPr>
          <w:lang w:val="en-US"/>
        </w:rPr>
        <w:t xml:space="preserve">egulation 7(4) </w:t>
      </w:r>
      <w:r w:rsidR="006735DB" w:rsidRPr="005830CE">
        <w:rPr>
          <w:lang w:val="en-US"/>
        </w:rPr>
        <w:t xml:space="preserve">of the revised draft regulations </w:t>
      </w:r>
      <w:r w:rsidR="00A13C21" w:rsidRPr="005830CE">
        <w:rPr>
          <w:lang w:val="en-US"/>
        </w:rPr>
        <w:t xml:space="preserve">now provides entitlement to higher rate mobility </w:t>
      </w:r>
      <w:r w:rsidR="00467EA8" w:rsidRPr="005830CE">
        <w:rPr>
          <w:lang w:val="en-US"/>
        </w:rPr>
        <w:t>for</w:t>
      </w:r>
      <w:r w:rsidR="00A13C21" w:rsidRPr="005830CE">
        <w:rPr>
          <w:lang w:val="en-US"/>
        </w:rPr>
        <w:t xml:space="preserve"> children who have a severe visual impairment</w:t>
      </w:r>
      <w:r w:rsidR="00736778" w:rsidRPr="005830CE">
        <w:rPr>
          <w:lang w:val="en-US"/>
        </w:rPr>
        <w:t>,</w:t>
      </w:r>
      <w:r w:rsidR="00A13C21" w:rsidRPr="005830CE">
        <w:rPr>
          <w:lang w:val="en-US"/>
        </w:rPr>
        <w:t xml:space="preserve"> fulfilling the </w:t>
      </w:r>
      <w:r w:rsidR="00736778" w:rsidRPr="005830CE">
        <w:rPr>
          <w:lang w:val="en-US"/>
        </w:rPr>
        <w:t xml:space="preserve">VINCYP </w:t>
      </w:r>
      <w:r w:rsidR="00A13C21" w:rsidRPr="005830CE">
        <w:rPr>
          <w:lang w:val="en-US"/>
        </w:rPr>
        <w:t xml:space="preserve">definition. </w:t>
      </w:r>
      <w:r w:rsidR="002962B6" w:rsidRPr="005830CE">
        <w:rPr>
          <w:lang w:val="en-US"/>
        </w:rPr>
        <w:t xml:space="preserve">The new test </w:t>
      </w:r>
      <w:r w:rsidR="00736778" w:rsidRPr="005830CE">
        <w:rPr>
          <w:lang w:val="en-US"/>
        </w:rPr>
        <w:t xml:space="preserve">in </w:t>
      </w:r>
      <w:r w:rsidR="00EF6141" w:rsidRPr="005830CE">
        <w:rPr>
          <w:lang w:val="en-US"/>
        </w:rPr>
        <w:t xml:space="preserve">regulation 7(4) </w:t>
      </w:r>
      <w:r w:rsidR="00736778" w:rsidRPr="005830CE">
        <w:rPr>
          <w:lang w:val="en-US"/>
        </w:rPr>
        <w:t xml:space="preserve">has </w:t>
      </w:r>
      <w:r w:rsidR="002962B6" w:rsidRPr="005830CE">
        <w:rPr>
          <w:lang w:val="en-US"/>
        </w:rPr>
        <w:t>two parts:</w:t>
      </w:r>
    </w:p>
    <w:p w:rsidR="002A7FFA" w:rsidRPr="005830CE" w:rsidRDefault="002A7FFA" w:rsidP="00410231">
      <w:pPr>
        <w:rPr>
          <w:lang w:val="en-US"/>
        </w:rPr>
      </w:pPr>
    </w:p>
    <w:p w:rsidR="00C209B4" w:rsidRPr="005830CE" w:rsidRDefault="00EF6141" w:rsidP="00EF6141">
      <w:pPr>
        <w:pStyle w:val="ListParagraph"/>
        <w:numPr>
          <w:ilvl w:val="0"/>
          <w:numId w:val="40"/>
        </w:numPr>
        <w:rPr>
          <w:lang w:val="en-US"/>
        </w:rPr>
      </w:pPr>
      <w:r w:rsidRPr="005830CE">
        <w:rPr>
          <w:lang w:val="en-US"/>
        </w:rPr>
        <w:t xml:space="preserve"> </w:t>
      </w:r>
      <w:r w:rsidR="002962B6" w:rsidRPr="005830CE">
        <w:rPr>
          <w:lang w:val="en-US"/>
        </w:rPr>
        <w:t>the</w:t>
      </w:r>
      <w:r w:rsidR="00C209B4" w:rsidRPr="005830CE">
        <w:rPr>
          <w:lang w:val="en-US"/>
        </w:rPr>
        <w:t xml:space="preserve"> child </w:t>
      </w:r>
      <w:r w:rsidRPr="005830CE">
        <w:rPr>
          <w:lang w:val="en-US"/>
        </w:rPr>
        <w:t>‘has a severe visual impairment</w:t>
      </w:r>
      <w:r w:rsidR="00736778" w:rsidRPr="005830CE">
        <w:rPr>
          <w:lang w:val="en-US"/>
        </w:rPr>
        <w:t>’,</w:t>
      </w:r>
      <w:r w:rsidR="00C209B4" w:rsidRPr="005830CE">
        <w:rPr>
          <w:lang w:val="en-US"/>
        </w:rPr>
        <w:t xml:space="preserve"> </w:t>
      </w:r>
      <w:r w:rsidR="00736778" w:rsidRPr="005830CE">
        <w:rPr>
          <w:lang w:val="en-US"/>
        </w:rPr>
        <w:t>fulfilling</w:t>
      </w:r>
      <w:r w:rsidR="00C209B4" w:rsidRPr="005830CE">
        <w:rPr>
          <w:lang w:val="en-US"/>
        </w:rPr>
        <w:t xml:space="preserve"> the </w:t>
      </w:r>
      <w:r w:rsidRPr="005830CE">
        <w:rPr>
          <w:lang w:val="en-US"/>
        </w:rPr>
        <w:t xml:space="preserve">definition from </w:t>
      </w:r>
      <w:r w:rsidR="00C209B4" w:rsidRPr="005830CE">
        <w:rPr>
          <w:lang w:val="en-US"/>
        </w:rPr>
        <w:t>VINCYP, and</w:t>
      </w:r>
    </w:p>
    <w:p w:rsidR="00C209B4" w:rsidRPr="005830CE" w:rsidRDefault="003E44BF" w:rsidP="00EF6141">
      <w:pPr>
        <w:pStyle w:val="ListParagraph"/>
        <w:numPr>
          <w:ilvl w:val="0"/>
          <w:numId w:val="40"/>
        </w:numPr>
        <w:rPr>
          <w:lang w:val="en-US"/>
        </w:rPr>
      </w:pPr>
      <w:r>
        <w:rPr>
          <w:lang w:val="en-US"/>
        </w:rPr>
        <w:t xml:space="preserve"> </w:t>
      </w:r>
      <w:r w:rsidR="002962B6" w:rsidRPr="005830CE">
        <w:rPr>
          <w:lang w:val="en-US"/>
        </w:rPr>
        <w:t>the</w:t>
      </w:r>
      <w:r w:rsidR="00C209B4" w:rsidRPr="005830CE">
        <w:rPr>
          <w:lang w:val="en-US"/>
        </w:rPr>
        <w:t xml:space="preserve"> child </w:t>
      </w:r>
      <w:r w:rsidR="00EF6141" w:rsidRPr="005830CE">
        <w:rPr>
          <w:lang w:val="en-US"/>
        </w:rPr>
        <w:t>‘</w:t>
      </w:r>
      <w:r w:rsidR="00C209B4" w:rsidRPr="005830CE">
        <w:rPr>
          <w:lang w:val="en-US"/>
        </w:rPr>
        <w:t>is unable to mobilise safely</w:t>
      </w:r>
      <w:r w:rsidR="00EF6141" w:rsidRPr="005830CE">
        <w:rPr>
          <w:lang w:val="en-US"/>
        </w:rPr>
        <w:t>’ ….</w:t>
      </w:r>
      <w:r w:rsidR="00736778" w:rsidRPr="005830CE">
        <w:rPr>
          <w:lang w:val="en-US"/>
        </w:rPr>
        <w:t xml:space="preserve"> ‘</w:t>
      </w:r>
      <w:r w:rsidR="00C209B4" w:rsidRPr="005830CE">
        <w:rPr>
          <w:lang w:val="en-US"/>
        </w:rPr>
        <w:t>due to severe sight impairment</w:t>
      </w:r>
      <w:r w:rsidR="00EF6141" w:rsidRPr="005830CE">
        <w:rPr>
          <w:lang w:val="en-US"/>
        </w:rPr>
        <w:t>’</w:t>
      </w:r>
      <w:r w:rsidR="002962B6" w:rsidRPr="005830CE">
        <w:rPr>
          <w:lang w:val="en-US"/>
        </w:rPr>
        <w:t>.</w:t>
      </w:r>
    </w:p>
    <w:p w:rsidR="002C58DC" w:rsidRPr="005830CE" w:rsidRDefault="002C58DC" w:rsidP="002C58DC">
      <w:pPr>
        <w:rPr>
          <w:lang w:val="en-US"/>
        </w:rPr>
      </w:pPr>
    </w:p>
    <w:p w:rsidR="00A40E70" w:rsidRPr="005830CE" w:rsidRDefault="00E0000B" w:rsidP="002C58DC">
      <w:pPr>
        <w:rPr>
          <w:lang w:val="en-US"/>
        </w:rPr>
      </w:pPr>
      <w:r w:rsidRPr="005830CE">
        <w:rPr>
          <w:lang w:val="en-US"/>
        </w:rPr>
        <w:t xml:space="preserve">This approach is a much better fit with </w:t>
      </w:r>
      <w:r w:rsidR="00B91C94">
        <w:rPr>
          <w:lang w:val="en-US"/>
        </w:rPr>
        <w:t xml:space="preserve">good </w:t>
      </w:r>
      <w:r w:rsidRPr="005830CE">
        <w:rPr>
          <w:lang w:val="en-US"/>
        </w:rPr>
        <w:t xml:space="preserve">practice in Scotland, and </w:t>
      </w:r>
      <w:r w:rsidR="002C58DC" w:rsidRPr="005830CE">
        <w:rPr>
          <w:lang w:val="en-US"/>
        </w:rPr>
        <w:t>should make evidencing entitlement for children with a visual impairment more straightforward</w:t>
      </w:r>
      <w:r w:rsidRPr="005830CE">
        <w:rPr>
          <w:lang w:val="en-US"/>
        </w:rPr>
        <w:t>. I</w:t>
      </w:r>
      <w:r w:rsidR="002C58DC" w:rsidRPr="005830CE">
        <w:rPr>
          <w:lang w:val="en-US"/>
        </w:rPr>
        <w:t xml:space="preserve">t is reassuring that RNIB </w:t>
      </w:r>
      <w:r w:rsidR="00492CF8">
        <w:rPr>
          <w:lang w:val="en-US"/>
        </w:rPr>
        <w:t xml:space="preserve">Scotland </w:t>
      </w:r>
      <w:r w:rsidR="002C58DC" w:rsidRPr="005830CE">
        <w:rPr>
          <w:lang w:val="en-US"/>
        </w:rPr>
        <w:t>approves of the change overall.</w:t>
      </w:r>
      <w:r w:rsidR="00265DC9" w:rsidRPr="005830CE">
        <w:rPr>
          <w:rStyle w:val="FootnoteReference"/>
          <w:lang w:val="en-US"/>
        </w:rPr>
        <w:footnoteReference w:id="11"/>
      </w:r>
      <w:r w:rsidR="002C58DC" w:rsidRPr="005830CE">
        <w:rPr>
          <w:lang w:val="en-US"/>
        </w:rPr>
        <w:t xml:space="preserve"> However</w:t>
      </w:r>
      <w:r w:rsidR="00FC3945">
        <w:rPr>
          <w:lang w:val="en-US"/>
        </w:rPr>
        <w:t>,</w:t>
      </w:r>
      <w:r w:rsidR="002C58DC" w:rsidRPr="005830CE">
        <w:rPr>
          <w:lang w:val="en-US"/>
        </w:rPr>
        <w:t xml:space="preserve"> RNIB </w:t>
      </w:r>
      <w:r w:rsidR="00492CF8">
        <w:rPr>
          <w:lang w:val="en-US"/>
        </w:rPr>
        <w:t xml:space="preserve">Scotland </w:t>
      </w:r>
      <w:r w:rsidR="002C58DC" w:rsidRPr="005830CE">
        <w:rPr>
          <w:lang w:val="en-US"/>
        </w:rPr>
        <w:t>points out that the second part of the test (reg</w:t>
      </w:r>
      <w:r w:rsidR="00F416B1">
        <w:rPr>
          <w:lang w:val="en-US"/>
        </w:rPr>
        <w:t>ulation</w:t>
      </w:r>
      <w:r w:rsidR="002C58DC" w:rsidRPr="005830CE">
        <w:rPr>
          <w:lang w:val="en-US"/>
        </w:rPr>
        <w:t xml:space="preserve"> 7(4)(b) </w:t>
      </w:r>
      <w:r w:rsidR="00FC3945">
        <w:rPr>
          <w:lang w:val="en-US"/>
        </w:rPr>
        <w:t xml:space="preserve">on </w:t>
      </w:r>
      <w:r w:rsidR="002C58DC" w:rsidRPr="005830CE">
        <w:rPr>
          <w:lang w:val="en-US"/>
        </w:rPr>
        <w:t>mobilising safely) is not needed because having a severe visual impairment in itself should be sufficient to qualify.</w:t>
      </w:r>
      <w:r w:rsidR="00E85941" w:rsidRPr="005830CE">
        <w:rPr>
          <w:lang w:val="en-US"/>
        </w:rPr>
        <w:t xml:space="preserve"> </w:t>
      </w:r>
      <w:r w:rsidR="00165A81" w:rsidRPr="005830CE">
        <w:rPr>
          <w:lang w:val="en-US"/>
        </w:rPr>
        <w:t xml:space="preserve">Other stakeholders have voiced concerns that </w:t>
      </w:r>
      <w:r w:rsidR="00292339" w:rsidRPr="005830CE">
        <w:rPr>
          <w:lang w:val="en-US"/>
        </w:rPr>
        <w:t>including a mobilising test could inadvertently restrict entitlement compared to the</w:t>
      </w:r>
      <w:r w:rsidR="00265DC9" w:rsidRPr="005830CE">
        <w:rPr>
          <w:lang w:val="en-US"/>
        </w:rPr>
        <w:t xml:space="preserve"> </w:t>
      </w:r>
      <w:r w:rsidR="00292339" w:rsidRPr="005830CE">
        <w:rPr>
          <w:lang w:val="en-US"/>
        </w:rPr>
        <w:t>DLA test of severe visual impairment which it replaces.</w:t>
      </w:r>
    </w:p>
    <w:p w:rsidR="00A40E70" w:rsidRPr="005830CE" w:rsidRDefault="00A40E70" w:rsidP="002C58DC">
      <w:pPr>
        <w:rPr>
          <w:lang w:val="en-US"/>
        </w:rPr>
      </w:pPr>
    </w:p>
    <w:p w:rsidR="008D6F9B" w:rsidRDefault="00DB7DA2" w:rsidP="002C58DC">
      <w:pPr>
        <w:rPr>
          <w:lang w:val="en-US"/>
        </w:rPr>
      </w:pPr>
      <w:r w:rsidRPr="001C470A">
        <w:rPr>
          <w:lang w:val="en-US"/>
        </w:rPr>
        <w:t xml:space="preserve">We are grateful to the Scottish Government for </w:t>
      </w:r>
      <w:r w:rsidR="002D0117" w:rsidRPr="001C470A">
        <w:rPr>
          <w:lang w:val="en-US"/>
        </w:rPr>
        <w:t>conveying to us</w:t>
      </w:r>
      <w:r w:rsidRPr="001C470A">
        <w:rPr>
          <w:lang w:val="en-US"/>
        </w:rPr>
        <w:t xml:space="preserve"> the following insights from VINCYP national lead clinicians. </w:t>
      </w:r>
      <w:r w:rsidR="00E47F7F" w:rsidRPr="001C470A">
        <w:rPr>
          <w:lang w:val="en-US"/>
        </w:rPr>
        <w:t>W</w:t>
      </w:r>
      <w:r w:rsidR="00FB606B" w:rsidRPr="001C470A">
        <w:rPr>
          <w:lang w:val="en-US"/>
        </w:rPr>
        <w:t>e understand that w</w:t>
      </w:r>
      <w:r w:rsidR="00A40E70" w:rsidRPr="001C470A">
        <w:rPr>
          <w:lang w:val="en-US"/>
        </w:rPr>
        <w:t xml:space="preserve">hereas </w:t>
      </w:r>
      <w:r w:rsidR="00E47F7F" w:rsidRPr="001C470A">
        <w:rPr>
          <w:lang w:val="en-US"/>
        </w:rPr>
        <w:t>VINCYP has</w:t>
      </w:r>
      <w:r w:rsidR="00A40E70" w:rsidRPr="001C470A">
        <w:rPr>
          <w:lang w:val="en-US"/>
        </w:rPr>
        <w:t xml:space="preserve"> a</w:t>
      </w:r>
      <w:r w:rsidR="00E47F7F" w:rsidRPr="001C470A">
        <w:rPr>
          <w:lang w:val="en-US"/>
        </w:rPr>
        <w:t>n</w:t>
      </w:r>
      <w:r w:rsidR="00A40E70" w:rsidRPr="001C470A">
        <w:rPr>
          <w:lang w:val="en-US"/>
        </w:rPr>
        <w:t xml:space="preserve"> agreed definition of ‘visual impairment’ in children (reproduced in regulation 7(8)), </w:t>
      </w:r>
      <w:r w:rsidR="00E0000B" w:rsidRPr="001C470A">
        <w:rPr>
          <w:lang w:val="en-US"/>
        </w:rPr>
        <w:t xml:space="preserve">the </w:t>
      </w:r>
      <w:r w:rsidR="00A40E70" w:rsidRPr="001C470A">
        <w:rPr>
          <w:lang w:val="en-US"/>
        </w:rPr>
        <w:t xml:space="preserve">assessment of ‘severe visual impairment’ </w:t>
      </w:r>
      <w:r w:rsidR="00E0000B" w:rsidRPr="001C470A">
        <w:rPr>
          <w:lang w:val="en-US"/>
        </w:rPr>
        <w:t>does not depend on</w:t>
      </w:r>
      <w:r w:rsidR="00A40E70" w:rsidRPr="001C470A">
        <w:rPr>
          <w:lang w:val="en-US"/>
        </w:rPr>
        <w:t xml:space="preserve"> </w:t>
      </w:r>
      <w:r w:rsidR="00736778" w:rsidRPr="001C470A">
        <w:rPr>
          <w:lang w:val="en-US"/>
        </w:rPr>
        <w:t xml:space="preserve">the child’s </w:t>
      </w:r>
      <w:r w:rsidR="00A40E70" w:rsidRPr="001C470A">
        <w:rPr>
          <w:lang w:val="en-US"/>
        </w:rPr>
        <w:t>ability to mobilise</w:t>
      </w:r>
      <w:r w:rsidR="00E0000B" w:rsidRPr="001C470A">
        <w:rPr>
          <w:lang w:val="en-US"/>
        </w:rPr>
        <w:t xml:space="preserve"> as the draft regulations suggest</w:t>
      </w:r>
      <w:r w:rsidR="00A40E70" w:rsidRPr="001C470A">
        <w:rPr>
          <w:lang w:val="en-US"/>
        </w:rPr>
        <w:t xml:space="preserve">. </w:t>
      </w:r>
      <w:r w:rsidR="00EF6141" w:rsidRPr="001C470A">
        <w:rPr>
          <w:lang w:val="en-US"/>
        </w:rPr>
        <w:t>VINCYP does refer</w:t>
      </w:r>
      <w:r w:rsidR="00E0000B" w:rsidRPr="001C470A">
        <w:rPr>
          <w:lang w:val="en-US"/>
        </w:rPr>
        <w:t xml:space="preserve"> to</w:t>
      </w:r>
      <w:r w:rsidR="00EF6141" w:rsidRPr="001C470A">
        <w:rPr>
          <w:lang w:val="en-US"/>
        </w:rPr>
        <w:t xml:space="preserve"> </w:t>
      </w:r>
      <w:r w:rsidR="00A40E70" w:rsidRPr="001C470A">
        <w:rPr>
          <w:lang w:val="en-US"/>
        </w:rPr>
        <w:t>mobilising</w:t>
      </w:r>
      <w:r w:rsidR="00EF6141" w:rsidRPr="001C470A">
        <w:rPr>
          <w:lang w:val="en-US"/>
        </w:rPr>
        <w:t xml:space="preserve"> in the same terms as reproduced in regulation 7(4)(b), but as</w:t>
      </w:r>
      <w:r w:rsidR="00A40E70" w:rsidRPr="001C470A">
        <w:rPr>
          <w:lang w:val="en-US"/>
        </w:rPr>
        <w:t xml:space="preserve"> a shorthand used by clinicians producing a statement that a family can use to evidence entitlement to a Blue Badge or travel card.</w:t>
      </w:r>
      <w:r w:rsidR="00E47F7F" w:rsidRPr="001C470A">
        <w:rPr>
          <w:lang w:val="en-US"/>
        </w:rPr>
        <w:t xml:space="preserve"> </w:t>
      </w:r>
      <w:r w:rsidR="008D6F9B" w:rsidRPr="001C470A">
        <w:rPr>
          <w:lang w:val="en-US"/>
        </w:rPr>
        <w:t xml:space="preserve">Unlike adults, the definition of ‘severe’ in children cannot always be measured in terms of the standard sight tests of visual acuity, either because they are too young, or because visual impairment is due to an abnormality of brain function so that they cannot ‘see’ due to profound difficulties with visual processing in the brain. Where it is not appropriate to apply the adult visual acuity criteria, clinicians </w:t>
      </w:r>
      <w:r w:rsidR="00425C2B" w:rsidRPr="001C470A">
        <w:rPr>
          <w:lang w:val="en-US"/>
        </w:rPr>
        <w:t>form a professional opinion on whether a child has equivalent visual function to someone meeting the adult criteria.</w:t>
      </w:r>
      <w:r w:rsidR="00B13D55" w:rsidRPr="001C470A">
        <w:rPr>
          <w:lang w:val="en-US"/>
        </w:rPr>
        <w:t xml:space="preserve"> Best practice is for a child to have a functional assessment by a team of </w:t>
      </w:r>
      <w:r w:rsidR="00B13D55" w:rsidRPr="001C470A">
        <w:rPr>
          <w:lang w:val="en-US"/>
        </w:rPr>
        <w:lastRenderedPageBreak/>
        <w:t>professionals with expertise in visual impairment including a teacher and habilitation specialist.</w:t>
      </w:r>
      <w:r w:rsidR="00B13D55" w:rsidRPr="005830CE">
        <w:rPr>
          <w:lang w:val="en-US"/>
        </w:rPr>
        <w:t xml:space="preserve"> </w:t>
      </w:r>
    </w:p>
    <w:p w:rsidR="001C470A" w:rsidRDefault="001C470A" w:rsidP="002C58DC">
      <w:pPr>
        <w:rPr>
          <w:lang w:val="en-US"/>
        </w:rPr>
      </w:pPr>
    </w:p>
    <w:p w:rsidR="001C470A" w:rsidRPr="005830CE" w:rsidRDefault="004009BF" w:rsidP="002C58DC">
      <w:pPr>
        <w:rPr>
          <w:lang w:val="en-US"/>
        </w:rPr>
      </w:pPr>
      <w:r>
        <w:rPr>
          <w:lang w:val="en-US"/>
        </w:rPr>
        <w:t xml:space="preserve">In the light of this information about the broader functional nature of the VINCYP test of severe visual impairment in children, we consider that removing the mobilising requirement in regulation 7(4) will </w:t>
      </w:r>
      <w:r w:rsidR="002C0EFE">
        <w:rPr>
          <w:lang w:val="en-US"/>
        </w:rPr>
        <w:t xml:space="preserve">help </w:t>
      </w:r>
      <w:r>
        <w:rPr>
          <w:lang w:val="en-US"/>
        </w:rPr>
        <w:t>align the regulations more successfully with the clinical approach to assessments.</w:t>
      </w:r>
    </w:p>
    <w:p w:rsidR="00425C2B" w:rsidRPr="005830CE" w:rsidRDefault="00425C2B" w:rsidP="002C58DC">
      <w:pPr>
        <w:rPr>
          <w:lang w:val="en-US"/>
        </w:rPr>
      </w:pPr>
    </w:p>
    <w:p w:rsidR="00A40E70" w:rsidRPr="002A7FFA" w:rsidRDefault="0056124F" w:rsidP="002C58DC">
      <w:pPr>
        <w:rPr>
          <w:b/>
          <w:lang w:val="en-US"/>
        </w:rPr>
      </w:pPr>
      <w:r w:rsidRPr="005830CE">
        <w:rPr>
          <w:b/>
          <w:lang w:val="en-US"/>
        </w:rPr>
        <w:t>Recommendation</w:t>
      </w:r>
      <w:r w:rsidR="002A7FFA">
        <w:rPr>
          <w:b/>
          <w:lang w:val="en-US"/>
        </w:rPr>
        <w:t xml:space="preserve"> 2</w:t>
      </w:r>
      <w:r w:rsidRPr="005830CE">
        <w:rPr>
          <w:b/>
          <w:lang w:val="en-US"/>
        </w:rPr>
        <w:t xml:space="preserve">: The Scottish Government </w:t>
      </w:r>
      <w:r w:rsidR="00736778" w:rsidRPr="005830CE">
        <w:rPr>
          <w:b/>
          <w:lang w:val="en-US"/>
        </w:rPr>
        <w:t xml:space="preserve">should </w:t>
      </w:r>
      <w:r w:rsidRPr="005830CE">
        <w:rPr>
          <w:b/>
          <w:lang w:val="en-US"/>
        </w:rPr>
        <w:t xml:space="preserve">amend the definition of ‘severe visual impairment’ </w:t>
      </w:r>
      <w:r w:rsidR="00791EAE" w:rsidRPr="005830CE">
        <w:rPr>
          <w:b/>
          <w:lang w:val="en-US"/>
        </w:rPr>
        <w:t xml:space="preserve">in regulation 7(4) </w:t>
      </w:r>
      <w:r w:rsidRPr="005830CE">
        <w:rPr>
          <w:b/>
          <w:lang w:val="en-US"/>
        </w:rPr>
        <w:t>to remove the mobilising requirement</w:t>
      </w:r>
      <w:r w:rsidR="00791EAE" w:rsidRPr="005830CE">
        <w:rPr>
          <w:b/>
          <w:lang w:val="en-US"/>
        </w:rPr>
        <w:t>. Further, it</w:t>
      </w:r>
      <w:r w:rsidRPr="005830CE">
        <w:rPr>
          <w:b/>
          <w:lang w:val="en-US"/>
        </w:rPr>
        <w:t xml:space="preserve"> </w:t>
      </w:r>
      <w:r w:rsidR="00736778" w:rsidRPr="005830CE">
        <w:rPr>
          <w:b/>
          <w:lang w:val="en-US"/>
        </w:rPr>
        <w:t xml:space="preserve">should </w:t>
      </w:r>
      <w:r w:rsidRPr="005830CE">
        <w:rPr>
          <w:b/>
          <w:lang w:val="en-US"/>
        </w:rPr>
        <w:t>provide detailed guidance on the VINCYP assessment and the types of supporting information that will evidence severe visual impairment.</w:t>
      </w:r>
    </w:p>
    <w:p w:rsidR="0015610C" w:rsidRPr="005830CE" w:rsidRDefault="0015610C" w:rsidP="005157F5">
      <w:pPr>
        <w:pStyle w:val="ListParagraph"/>
        <w:rPr>
          <w:lang w:val="en-US"/>
        </w:rPr>
      </w:pPr>
    </w:p>
    <w:p w:rsidR="005157F5" w:rsidRPr="005830CE" w:rsidRDefault="00824FA6" w:rsidP="004C258F">
      <w:pPr>
        <w:pStyle w:val="Heading2"/>
        <w:rPr>
          <w:rFonts w:cs="Arial"/>
          <w:b/>
          <w:color w:val="000000" w:themeColor="text1"/>
          <w:szCs w:val="24"/>
        </w:rPr>
      </w:pPr>
      <w:bookmarkStart w:id="10" w:name="_Toc59010236"/>
      <w:r w:rsidRPr="005830CE">
        <w:rPr>
          <w:rFonts w:cs="Arial"/>
          <w:b/>
          <w:color w:val="000000" w:themeColor="text1"/>
          <w:szCs w:val="24"/>
        </w:rPr>
        <w:t xml:space="preserve">How many children </w:t>
      </w:r>
      <w:r w:rsidR="0015610C" w:rsidRPr="005830CE">
        <w:rPr>
          <w:rFonts w:cs="Arial"/>
          <w:b/>
          <w:color w:val="000000" w:themeColor="text1"/>
          <w:szCs w:val="24"/>
        </w:rPr>
        <w:t xml:space="preserve">with a severe visual impairment </w:t>
      </w:r>
      <w:r w:rsidRPr="005830CE">
        <w:rPr>
          <w:rFonts w:cs="Arial"/>
          <w:b/>
          <w:color w:val="000000" w:themeColor="text1"/>
          <w:szCs w:val="24"/>
        </w:rPr>
        <w:t>will qualify under the new test?</w:t>
      </w:r>
      <w:bookmarkEnd w:id="10"/>
    </w:p>
    <w:p w:rsidR="00736778" w:rsidRPr="005830CE" w:rsidRDefault="0015610C" w:rsidP="00CA1F7C">
      <w:pPr>
        <w:pStyle w:val="ListParagraph"/>
        <w:ind w:left="0"/>
        <w:rPr>
          <w:lang w:val="en-US"/>
        </w:rPr>
      </w:pPr>
      <w:r w:rsidRPr="005830CE">
        <w:rPr>
          <w:lang w:val="en-US"/>
        </w:rPr>
        <w:t xml:space="preserve">The Scottish Government has not been able to estimate the number of children likely to qualify for </w:t>
      </w:r>
      <w:r w:rsidR="00265DC9" w:rsidRPr="005830CE">
        <w:rPr>
          <w:lang w:val="en-US"/>
        </w:rPr>
        <w:t xml:space="preserve">the </w:t>
      </w:r>
      <w:r w:rsidRPr="005830CE">
        <w:rPr>
          <w:lang w:val="en-US"/>
        </w:rPr>
        <w:t xml:space="preserve">higher rate mobility </w:t>
      </w:r>
      <w:r w:rsidR="00265DC9" w:rsidRPr="005830CE">
        <w:rPr>
          <w:lang w:val="en-US"/>
        </w:rPr>
        <w:t xml:space="preserve">component </w:t>
      </w:r>
      <w:r w:rsidRPr="005830CE">
        <w:rPr>
          <w:lang w:val="en-US"/>
        </w:rPr>
        <w:t xml:space="preserve">under the new definition of severe visual impairment. 107 children currently qualify for DLA higher rate mobility </w:t>
      </w:r>
      <w:r w:rsidR="00EF22CB">
        <w:rPr>
          <w:lang w:val="en-US"/>
        </w:rPr>
        <w:t>under the existing definition</w:t>
      </w:r>
      <w:r w:rsidRPr="005830CE">
        <w:rPr>
          <w:lang w:val="en-US"/>
        </w:rPr>
        <w:t xml:space="preserve">. </w:t>
      </w:r>
    </w:p>
    <w:p w:rsidR="00736778" w:rsidRPr="005830CE" w:rsidRDefault="00736778" w:rsidP="00CA1F7C">
      <w:pPr>
        <w:pStyle w:val="ListParagraph"/>
        <w:ind w:left="0"/>
        <w:rPr>
          <w:lang w:val="en-US"/>
        </w:rPr>
      </w:pPr>
    </w:p>
    <w:p w:rsidR="009F38B7" w:rsidRPr="005830CE" w:rsidRDefault="0015610C" w:rsidP="00CA1F7C">
      <w:pPr>
        <w:pStyle w:val="ListParagraph"/>
        <w:ind w:left="0"/>
        <w:rPr>
          <w:lang w:val="en-US"/>
        </w:rPr>
      </w:pPr>
      <w:r w:rsidRPr="005830CE">
        <w:rPr>
          <w:lang w:val="en-US"/>
        </w:rPr>
        <w:t>Approximately 2,500 children in Scotland have a visual impairment</w:t>
      </w:r>
      <w:r w:rsidRPr="005830CE">
        <w:rPr>
          <w:rStyle w:val="FootnoteReference"/>
          <w:lang w:val="en-US"/>
        </w:rPr>
        <w:footnoteReference w:id="12"/>
      </w:r>
      <w:r w:rsidRPr="005830CE">
        <w:rPr>
          <w:lang w:val="en-US"/>
        </w:rPr>
        <w:t xml:space="preserve"> but statistics from VINCYP on how many of these have a severe visual impairment have been delayed because of COVID. However, we expect that it would be possible</w:t>
      </w:r>
      <w:r w:rsidR="00FE1F64">
        <w:rPr>
          <w:lang w:val="en-US"/>
        </w:rPr>
        <w:t xml:space="preserve"> </w:t>
      </w:r>
      <w:r w:rsidR="00FE1F64">
        <w:t xml:space="preserve">for the Scottish Government to </w:t>
      </w:r>
      <w:r w:rsidR="00FF20AC">
        <w:t>estimate whether any significant change is expected as a result of the new definition, which would</w:t>
      </w:r>
      <w:r w:rsidR="00FE1F64">
        <w:rPr>
          <w:lang w:val="en-US"/>
        </w:rPr>
        <w:t xml:space="preserve"> </w:t>
      </w:r>
      <w:r w:rsidR="00FE1F64" w:rsidRPr="005830CE">
        <w:rPr>
          <w:lang w:val="en-US"/>
        </w:rPr>
        <w:t>reassur</w:t>
      </w:r>
      <w:r w:rsidR="00FE1F64">
        <w:rPr>
          <w:lang w:val="en-US"/>
        </w:rPr>
        <w:t>e</w:t>
      </w:r>
      <w:r w:rsidR="00FE1F64" w:rsidRPr="005830CE">
        <w:rPr>
          <w:lang w:val="en-US"/>
        </w:rPr>
        <w:t xml:space="preserve"> stakeholders</w:t>
      </w:r>
      <w:r w:rsidR="00FE1F64">
        <w:rPr>
          <w:lang w:val="en-US"/>
        </w:rPr>
        <w:t xml:space="preserve">. </w:t>
      </w:r>
      <w:r w:rsidR="00655C1C" w:rsidRPr="005830CE">
        <w:rPr>
          <w:lang w:val="en-US"/>
        </w:rPr>
        <w:t>Children have been assessed under VINCYP for some time</w:t>
      </w:r>
      <w:r w:rsidR="00FF20AC">
        <w:rPr>
          <w:lang w:val="en-US"/>
        </w:rPr>
        <w:t xml:space="preserve"> so it may be</w:t>
      </w:r>
      <w:r w:rsidR="001C00BD" w:rsidRPr="005830CE">
        <w:rPr>
          <w:lang w:val="en-US"/>
        </w:rPr>
        <w:t xml:space="preserve"> reasonable to assume that any significant </w:t>
      </w:r>
      <w:r w:rsidR="00FE1F64">
        <w:rPr>
          <w:lang w:val="en-US"/>
        </w:rPr>
        <w:t>change to</w:t>
      </w:r>
      <w:r w:rsidR="001C00BD" w:rsidRPr="005830CE">
        <w:rPr>
          <w:lang w:val="en-US"/>
        </w:rPr>
        <w:t xml:space="preserve"> how many children qualify for DLA would already have emerged. </w:t>
      </w:r>
      <w:r w:rsidR="0092044D">
        <w:rPr>
          <w:lang w:val="en-US"/>
        </w:rPr>
        <w:t>In any case, t</w:t>
      </w:r>
      <w:r w:rsidR="000568B2">
        <w:rPr>
          <w:lang w:val="en-US"/>
        </w:rPr>
        <w:t>he Scottish Government should monitor h</w:t>
      </w:r>
      <w:r w:rsidR="005C3C08">
        <w:rPr>
          <w:lang w:val="en-US"/>
        </w:rPr>
        <w:t>ow</w:t>
      </w:r>
      <w:r w:rsidR="002C0EFE">
        <w:rPr>
          <w:lang w:val="en-US"/>
        </w:rPr>
        <w:t xml:space="preserve"> many children with a severe visual impairment qualify for CDP </w:t>
      </w:r>
      <w:r w:rsidR="005C3C08">
        <w:rPr>
          <w:lang w:val="en-US"/>
        </w:rPr>
        <w:t>so that any impacts can be identified.</w:t>
      </w:r>
    </w:p>
    <w:p w:rsidR="00BD417D" w:rsidRPr="005830CE" w:rsidRDefault="00BD417D" w:rsidP="00CA1F7C">
      <w:pPr>
        <w:pStyle w:val="ListParagraph"/>
        <w:ind w:left="0"/>
        <w:rPr>
          <w:lang w:val="en-US"/>
        </w:rPr>
      </w:pPr>
    </w:p>
    <w:p w:rsidR="00C07BA9" w:rsidRPr="005830CE" w:rsidRDefault="00C07BA9" w:rsidP="00CA1F7C">
      <w:pPr>
        <w:pStyle w:val="ListParagraph"/>
        <w:ind w:left="0"/>
        <w:rPr>
          <w:b/>
          <w:lang w:val="en-US"/>
        </w:rPr>
      </w:pPr>
      <w:r w:rsidRPr="005830CE">
        <w:rPr>
          <w:b/>
          <w:lang w:val="en-US"/>
        </w:rPr>
        <w:t>Observation</w:t>
      </w:r>
      <w:r w:rsidR="002A7FFA">
        <w:rPr>
          <w:b/>
          <w:lang w:val="en-US"/>
        </w:rPr>
        <w:t xml:space="preserve"> 1</w:t>
      </w:r>
      <w:r w:rsidRPr="005830CE">
        <w:rPr>
          <w:b/>
          <w:lang w:val="en-US"/>
        </w:rPr>
        <w:t xml:space="preserve">: </w:t>
      </w:r>
      <w:r w:rsidR="009E2313" w:rsidRPr="005830CE">
        <w:rPr>
          <w:b/>
          <w:lang w:val="en-US"/>
        </w:rPr>
        <w:t>Generally, where there is a</w:t>
      </w:r>
      <w:r w:rsidR="00DF2061">
        <w:rPr>
          <w:b/>
          <w:lang w:val="en-US"/>
        </w:rPr>
        <w:t xml:space="preserve"> significant</w:t>
      </w:r>
      <w:r w:rsidR="009E2313" w:rsidRPr="005830CE">
        <w:rPr>
          <w:b/>
          <w:lang w:val="en-US"/>
        </w:rPr>
        <w:t xml:space="preserve"> change in policy as regulations are developed, it would be good practice to consider any consequential impacts and update equality and other impact assessments as needed.</w:t>
      </w:r>
      <w:r w:rsidR="004C258F" w:rsidRPr="005830CE">
        <w:rPr>
          <w:b/>
          <w:lang w:val="en-US"/>
        </w:rPr>
        <w:t xml:space="preserve"> </w:t>
      </w:r>
      <w:r w:rsidR="0092044D">
        <w:rPr>
          <w:b/>
          <w:lang w:val="en-US"/>
        </w:rPr>
        <w:t>To ensure any potential impacts are identified regarding children with visual impairments, t</w:t>
      </w:r>
      <w:r w:rsidR="000568B2">
        <w:rPr>
          <w:b/>
          <w:lang w:val="en-US"/>
        </w:rPr>
        <w:t xml:space="preserve">he Scottish Government should monitor how many children qualify for CDP under the new definition of severe visual impairment. </w:t>
      </w:r>
    </w:p>
    <w:p w:rsidR="00490AC7" w:rsidRPr="005830CE" w:rsidRDefault="00265DC9" w:rsidP="009F38B7">
      <w:pPr>
        <w:rPr>
          <w:b/>
          <w:lang w:val="en-US"/>
        </w:rPr>
      </w:pPr>
      <w:r w:rsidRPr="005830CE">
        <w:rPr>
          <w:b/>
          <w:lang w:val="en-US"/>
        </w:rPr>
        <w:lastRenderedPageBreak/>
        <w:t>Take-</w:t>
      </w:r>
      <w:r w:rsidR="004E1DE3" w:rsidRPr="005830CE">
        <w:rPr>
          <w:b/>
          <w:lang w:val="en-US"/>
        </w:rPr>
        <w:t xml:space="preserve">up </w:t>
      </w:r>
    </w:p>
    <w:p w:rsidR="00265DC9" w:rsidRPr="005830CE" w:rsidRDefault="00247592" w:rsidP="004D7F7A">
      <w:r w:rsidRPr="005830CE">
        <w:t xml:space="preserve">The Scottish Government pledges in the Charter to work to improve </w:t>
      </w:r>
      <w:r w:rsidR="00736778" w:rsidRPr="005830CE">
        <w:t xml:space="preserve">benefit </w:t>
      </w:r>
      <w:r w:rsidRPr="005830CE">
        <w:t>take-up, ensuring as many people as possible get what they are entitled to, making a particular effort to reach people who are most likely to be excluded.</w:t>
      </w:r>
      <w:r w:rsidR="00CD6F80">
        <w:t xml:space="preserve"> </w:t>
      </w:r>
      <w:r w:rsidR="006851A0">
        <w:t>Take-up initiatives are set out in a Benefit Take-up Strategy</w:t>
      </w:r>
      <w:r w:rsidR="006851A0">
        <w:rPr>
          <w:rStyle w:val="FootnoteReference"/>
        </w:rPr>
        <w:footnoteReference w:id="13"/>
      </w:r>
      <w:r w:rsidR="00FC3945">
        <w:t>,</w:t>
      </w:r>
      <w:r w:rsidR="006851A0">
        <w:t xml:space="preserve"> as required by </w:t>
      </w:r>
      <w:r w:rsidR="00FC3945">
        <w:t>t</w:t>
      </w:r>
      <w:r w:rsidR="00265DC9" w:rsidRPr="005830CE">
        <w:t xml:space="preserve">he Social Security (Scotland) Act </w:t>
      </w:r>
      <w:r w:rsidR="00CD6F80">
        <w:t>2018</w:t>
      </w:r>
      <w:r w:rsidR="00FC3945">
        <w:t>,</w:t>
      </w:r>
      <w:r w:rsidR="00904089">
        <w:t xml:space="preserve"> which include</w:t>
      </w:r>
      <w:r w:rsidR="00FC3945">
        <w:t>s</w:t>
      </w:r>
      <w:r w:rsidR="00904089">
        <w:t xml:space="preserve"> working with stakeholders on promotion and engagement</w:t>
      </w:r>
      <w:r w:rsidR="00CD6F80">
        <w:t>.</w:t>
      </w:r>
      <w:r w:rsidRPr="005830CE">
        <w:t xml:space="preserve"> </w:t>
      </w:r>
    </w:p>
    <w:p w:rsidR="00265DC9" w:rsidRPr="005830CE" w:rsidRDefault="00265DC9" w:rsidP="004D7F7A"/>
    <w:p w:rsidR="004E1DE3" w:rsidRPr="005830CE" w:rsidRDefault="0062575B" w:rsidP="004D7F7A">
      <w:r>
        <w:t xml:space="preserve">There are </w:t>
      </w:r>
      <w:r w:rsidR="00FC3945">
        <w:t>various</w:t>
      </w:r>
      <w:r>
        <w:t xml:space="preserve"> organisations and services for children with visual impairments </w:t>
      </w:r>
      <w:r w:rsidR="00FC3945">
        <w:t xml:space="preserve">that </w:t>
      </w:r>
      <w:r>
        <w:t xml:space="preserve">the Scottish Government will want to involve in promoting take-up of CDP. </w:t>
      </w:r>
      <w:r w:rsidR="00247592" w:rsidRPr="005830CE">
        <w:t xml:space="preserve">There is </w:t>
      </w:r>
      <w:r>
        <w:t xml:space="preserve">also </w:t>
      </w:r>
      <w:r w:rsidR="00247592" w:rsidRPr="005830CE">
        <w:t xml:space="preserve">an opportunity </w:t>
      </w:r>
      <w:r w:rsidR="00E05814" w:rsidRPr="005830CE">
        <w:t xml:space="preserve">for the Scottish Government </w:t>
      </w:r>
      <w:r w:rsidR="00247592" w:rsidRPr="005830CE">
        <w:t>to work with the network of practitioners and bodies through VINCYP to promote take</w:t>
      </w:r>
      <w:r w:rsidR="00265DC9" w:rsidRPr="005830CE">
        <w:t>-</w:t>
      </w:r>
      <w:r w:rsidR="00247592" w:rsidRPr="005830CE">
        <w:t xml:space="preserve">up of CDP among children with visual impairments, many of whom have </w:t>
      </w:r>
      <w:r w:rsidR="00242D47" w:rsidRPr="005830CE">
        <w:t xml:space="preserve">other </w:t>
      </w:r>
      <w:r w:rsidR="00B91C94">
        <w:t>impairment</w:t>
      </w:r>
      <w:r w:rsidR="00242D47" w:rsidRPr="005830CE">
        <w:t xml:space="preserve">s </w:t>
      </w:r>
      <w:r w:rsidR="00247592" w:rsidRPr="005830CE">
        <w:t>and as a group would be expected to have a high take</w:t>
      </w:r>
      <w:r w:rsidR="00CD6F80">
        <w:t>-</w:t>
      </w:r>
      <w:r w:rsidR="00247592" w:rsidRPr="005830CE">
        <w:t xml:space="preserve">up of CDP. </w:t>
      </w:r>
      <w:r w:rsidR="004D7F7A" w:rsidRPr="005830CE">
        <w:t>For example,</w:t>
      </w:r>
      <w:r w:rsidR="00430BD7" w:rsidRPr="005830CE">
        <w:t xml:space="preserve"> VINCYP standards</w:t>
      </w:r>
      <w:r w:rsidR="00430BD7" w:rsidRPr="005830CE">
        <w:rPr>
          <w:rStyle w:val="FootnoteReference"/>
        </w:rPr>
        <w:footnoteReference w:id="14"/>
      </w:r>
      <w:r w:rsidR="00430BD7" w:rsidRPr="005830CE">
        <w:t xml:space="preserve"> recommend a multi-agency review and report for each child within 8 months of identification of a visual impairment, which would be an opportunity to ensure that a benefit check for the family has been carried out.</w:t>
      </w:r>
    </w:p>
    <w:p w:rsidR="00241E47" w:rsidRPr="005830CE" w:rsidRDefault="00241E47" w:rsidP="004D7F7A"/>
    <w:p w:rsidR="00C255D7" w:rsidRDefault="00241E47" w:rsidP="002A7FFA">
      <w:pPr>
        <w:rPr>
          <w:b/>
        </w:rPr>
      </w:pPr>
      <w:r w:rsidRPr="005830CE">
        <w:rPr>
          <w:b/>
        </w:rPr>
        <w:t>Recommendation</w:t>
      </w:r>
      <w:r w:rsidR="002A7FFA">
        <w:rPr>
          <w:b/>
        </w:rPr>
        <w:t xml:space="preserve"> 3</w:t>
      </w:r>
      <w:r w:rsidRPr="005830CE">
        <w:rPr>
          <w:b/>
        </w:rPr>
        <w:t xml:space="preserve">: </w:t>
      </w:r>
      <w:r w:rsidR="00327B5A" w:rsidRPr="005830CE">
        <w:rPr>
          <w:b/>
        </w:rPr>
        <w:t>As part of its take</w:t>
      </w:r>
      <w:r w:rsidR="00ED6B7D">
        <w:rPr>
          <w:b/>
        </w:rPr>
        <w:t>-</w:t>
      </w:r>
      <w:r w:rsidR="00327B5A" w:rsidRPr="005830CE">
        <w:rPr>
          <w:b/>
        </w:rPr>
        <w:t>up strategy for CDP</w:t>
      </w:r>
      <w:r w:rsidR="0062575B">
        <w:rPr>
          <w:b/>
        </w:rPr>
        <w:t xml:space="preserve"> working with organisations and services</w:t>
      </w:r>
      <w:r w:rsidR="00327B5A" w:rsidRPr="005830CE">
        <w:rPr>
          <w:b/>
        </w:rPr>
        <w:t>, t</w:t>
      </w:r>
      <w:r w:rsidR="007B1BE0" w:rsidRPr="005830CE">
        <w:rPr>
          <w:b/>
        </w:rPr>
        <w:t>he Scottish Government should work with VINCYP networks to promote take</w:t>
      </w:r>
      <w:r w:rsidR="00ED6B7D">
        <w:rPr>
          <w:b/>
        </w:rPr>
        <w:t>-</w:t>
      </w:r>
      <w:r w:rsidR="007B1BE0" w:rsidRPr="005830CE">
        <w:rPr>
          <w:b/>
        </w:rPr>
        <w:t>up among children with visual impairments.</w:t>
      </w:r>
    </w:p>
    <w:p w:rsidR="002A7FFA" w:rsidRPr="002A7FFA" w:rsidRDefault="002A7FFA" w:rsidP="002A7FFA">
      <w:pPr>
        <w:rPr>
          <w:b/>
          <w:lang w:val="en-US"/>
        </w:rPr>
      </w:pPr>
    </w:p>
    <w:p w:rsidR="000118B9" w:rsidRPr="002A7FFA" w:rsidRDefault="00C255D7" w:rsidP="002A7FFA">
      <w:pPr>
        <w:pStyle w:val="Heading2"/>
        <w:rPr>
          <w:rFonts w:cs="Arial"/>
          <w:b/>
          <w:color w:val="000000" w:themeColor="text1"/>
          <w:szCs w:val="24"/>
        </w:rPr>
      </w:pPr>
      <w:bookmarkStart w:id="11" w:name="_Toc59010237"/>
      <w:r w:rsidRPr="005830CE">
        <w:rPr>
          <w:rFonts w:cs="Arial"/>
          <w:b/>
          <w:color w:val="000000" w:themeColor="text1"/>
          <w:szCs w:val="24"/>
        </w:rPr>
        <w:t>Severe mental impairment route to higher rate mobility</w:t>
      </w:r>
      <w:bookmarkEnd w:id="11"/>
    </w:p>
    <w:p w:rsidR="000118B9" w:rsidRPr="005830CE" w:rsidRDefault="000118B9" w:rsidP="00584BDF">
      <w:pPr>
        <w:rPr>
          <w:b/>
        </w:rPr>
      </w:pPr>
      <w:r w:rsidRPr="005830CE">
        <w:rPr>
          <w:b/>
        </w:rPr>
        <w:t xml:space="preserve">(a) Significant difference from DLA </w:t>
      </w:r>
    </w:p>
    <w:p w:rsidR="00301C38" w:rsidRPr="005830CE" w:rsidRDefault="006735DB" w:rsidP="00584BDF">
      <w:r w:rsidRPr="005830CE">
        <w:t xml:space="preserve">SCoSS’s original </w:t>
      </w:r>
      <w:r w:rsidR="000118B9" w:rsidRPr="005830CE">
        <w:t xml:space="preserve">report noted that DLA regulations have a single test for the severe mental impairment route to qualifying for the highest rate of the mobility component. A child must be ‘severely mentally impaired’ and have ‘severe behavioural problems’ and also get the highest rate of the care component. The </w:t>
      </w:r>
      <w:r w:rsidRPr="005830CE">
        <w:t>original</w:t>
      </w:r>
      <w:r w:rsidR="000118B9" w:rsidRPr="005830CE">
        <w:t xml:space="preserve"> </w:t>
      </w:r>
      <w:r w:rsidR="00912BFF">
        <w:t xml:space="preserve">DACYP draft </w:t>
      </w:r>
      <w:r w:rsidR="000118B9" w:rsidRPr="005830CE">
        <w:t xml:space="preserve">regulations </w:t>
      </w:r>
      <w:r w:rsidR="00301C38" w:rsidRPr="005830CE">
        <w:t>had diverged significantly from this approach</w:t>
      </w:r>
      <w:r w:rsidR="00FC3945">
        <w:t>,</w:t>
      </w:r>
      <w:r w:rsidR="00301C38" w:rsidRPr="005830CE">
        <w:t xml:space="preserve"> which did not seem to be the policy intention.</w:t>
      </w:r>
    </w:p>
    <w:p w:rsidR="00301C38" w:rsidRPr="005830CE" w:rsidRDefault="00301C38" w:rsidP="00584BDF"/>
    <w:p w:rsidR="00584BDF" w:rsidRPr="005830CE" w:rsidRDefault="007F0194" w:rsidP="00584BDF">
      <w:r w:rsidRPr="005830CE">
        <w:t xml:space="preserve">The revised </w:t>
      </w:r>
      <w:r w:rsidR="006735DB" w:rsidRPr="005830CE">
        <w:t xml:space="preserve">draft regulations </w:t>
      </w:r>
      <w:r w:rsidR="005B1565" w:rsidRPr="005830CE">
        <w:t xml:space="preserve">(regulation 7(2)(g)) </w:t>
      </w:r>
      <w:r w:rsidR="00C04349" w:rsidRPr="005830CE">
        <w:t>have been</w:t>
      </w:r>
      <w:r w:rsidRPr="005830CE">
        <w:t xml:space="preserve"> amended to add the requirement to have the higher rate care </w:t>
      </w:r>
      <w:r w:rsidR="00C04349" w:rsidRPr="005830CE">
        <w:t>component, b</w:t>
      </w:r>
      <w:r w:rsidRPr="005830CE">
        <w:t xml:space="preserve">ut not to have a single test. </w:t>
      </w:r>
      <w:r w:rsidR="00C04349" w:rsidRPr="005830CE">
        <w:t>The</w:t>
      </w:r>
      <w:r w:rsidRPr="005830CE">
        <w:t xml:space="preserve"> test </w:t>
      </w:r>
      <w:r w:rsidR="00C04349" w:rsidRPr="005830CE">
        <w:t xml:space="preserve">is still </w:t>
      </w:r>
      <w:r w:rsidRPr="005830CE">
        <w:t xml:space="preserve">that a child will qualify if they either have a ‘severe mental impairment’ or have ‘severe behavioural </w:t>
      </w:r>
      <w:r w:rsidRPr="005830CE">
        <w:lastRenderedPageBreak/>
        <w:t xml:space="preserve">difficulties’. </w:t>
      </w:r>
      <w:r w:rsidR="00265DC9" w:rsidRPr="005830CE">
        <w:t xml:space="preserve">We understand </w:t>
      </w:r>
      <w:r w:rsidR="005B1565" w:rsidRPr="005830CE">
        <w:t xml:space="preserve">the </w:t>
      </w:r>
      <w:r w:rsidR="00265DC9" w:rsidRPr="005830CE">
        <w:t xml:space="preserve">Scottish Government’s </w:t>
      </w:r>
      <w:r w:rsidR="005B1565" w:rsidRPr="005830CE">
        <w:t>policy intention is to have a single test and to amend the regulations accordingly.</w:t>
      </w:r>
    </w:p>
    <w:p w:rsidR="005B1565" w:rsidRPr="005830CE" w:rsidRDefault="005B1565" w:rsidP="00584BDF"/>
    <w:p w:rsidR="00584BDF" w:rsidRPr="002A7FFA" w:rsidRDefault="001852FF" w:rsidP="00584BDF">
      <w:pPr>
        <w:rPr>
          <w:b/>
        </w:rPr>
      </w:pPr>
      <w:r w:rsidRPr="005830CE">
        <w:rPr>
          <w:b/>
        </w:rPr>
        <w:t>Observation</w:t>
      </w:r>
      <w:r w:rsidR="002A7FFA">
        <w:rPr>
          <w:b/>
        </w:rPr>
        <w:t xml:space="preserve"> 2</w:t>
      </w:r>
      <w:r w:rsidR="005B1565" w:rsidRPr="005830CE">
        <w:rPr>
          <w:b/>
        </w:rPr>
        <w:t>:</w:t>
      </w:r>
      <w:r w:rsidR="004C258F" w:rsidRPr="005830CE">
        <w:rPr>
          <w:b/>
        </w:rPr>
        <w:t xml:space="preserve"> </w:t>
      </w:r>
      <w:r w:rsidR="00160707" w:rsidRPr="005830CE">
        <w:rPr>
          <w:b/>
        </w:rPr>
        <w:t xml:space="preserve">We note that further adjustments to drafting of regulations are needed to </w:t>
      </w:r>
      <w:r w:rsidR="009E1B1A" w:rsidRPr="005830CE">
        <w:rPr>
          <w:b/>
        </w:rPr>
        <w:t xml:space="preserve">ensure that the route to qualifying for higher rate mobility </w:t>
      </w:r>
      <w:r w:rsidR="00845A0F" w:rsidRPr="005830CE">
        <w:rPr>
          <w:b/>
        </w:rPr>
        <w:t xml:space="preserve">for a child with a ‘severe mental impairment’ who also has ‘severe behavioural difficulties’ </w:t>
      </w:r>
      <w:r w:rsidR="009E1B1A" w:rsidRPr="005830CE">
        <w:rPr>
          <w:b/>
        </w:rPr>
        <w:t>is set out in regulations in a manner consistent with the policy intention</w:t>
      </w:r>
      <w:r w:rsidR="00845A0F" w:rsidRPr="005830CE">
        <w:rPr>
          <w:b/>
        </w:rPr>
        <w:t xml:space="preserve"> of it being a single test where both parts must be satisfied</w:t>
      </w:r>
      <w:r w:rsidR="009E1B1A" w:rsidRPr="005830CE">
        <w:rPr>
          <w:b/>
        </w:rPr>
        <w:t>.</w:t>
      </w:r>
    </w:p>
    <w:p w:rsidR="006735DB" w:rsidRPr="005830CE" w:rsidRDefault="006735DB" w:rsidP="00B84A09">
      <w:pPr>
        <w:pStyle w:val="ListParagraph"/>
        <w:ind w:left="360"/>
        <w:rPr>
          <w:color w:val="000000"/>
        </w:rPr>
      </w:pPr>
    </w:p>
    <w:p w:rsidR="00561131" w:rsidRPr="005830CE" w:rsidRDefault="00561131" w:rsidP="000144A0">
      <w:pPr>
        <w:tabs>
          <w:tab w:val="left" w:pos="4680"/>
          <w:tab w:val="left" w:pos="5400"/>
          <w:tab w:val="right" w:pos="9000"/>
        </w:tabs>
        <w:rPr>
          <w:b/>
        </w:rPr>
      </w:pPr>
      <w:r w:rsidRPr="005830CE">
        <w:rPr>
          <w:b/>
        </w:rPr>
        <w:t>(b) Evidence for physical restraint</w:t>
      </w:r>
    </w:p>
    <w:p w:rsidR="006735DB" w:rsidRPr="005830CE" w:rsidRDefault="006735DB" w:rsidP="000144A0">
      <w:pPr>
        <w:tabs>
          <w:tab w:val="left" w:pos="4680"/>
          <w:tab w:val="left" w:pos="5400"/>
          <w:tab w:val="right" w:pos="9000"/>
        </w:tabs>
        <w:rPr>
          <w:szCs w:val="22"/>
        </w:rPr>
      </w:pPr>
      <w:r w:rsidRPr="005830CE">
        <w:t>O</w:t>
      </w:r>
      <w:r w:rsidR="000144A0" w:rsidRPr="005830CE">
        <w:t xml:space="preserve">ur </w:t>
      </w:r>
      <w:r w:rsidR="00584BDF" w:rsidRPr="005830CE">
        <w:t xml:space="preserve">original </w:t>
      </w:r>
      <w:r w:rsidR="000144A0" w:rsidRPr="005830CE">
        <w:t xml:space="preserve">report noted </w:t>
      </w:r>
      <w:r w:rsidRPr="005830CE">
        <w:t xml:space="preserve">a reference </w:t>
      </w:r>
      <w:r w:rsidR="000144A0" w:rsidRPr="005830CE">
        <w:t>to children whose behaviour requires ‘physically restraining’ and</w:t>
      </w:r>
      <w:r w:rsidR="00FC3945">
        <w:t>,</w:t>
      </w:r>
      <w:r w:rsidR="000144A0" w:rsidRPr="005830CE">
        <w:t xml:space="preserve"> in particular, that the use of restraint to avoid damage to property is not consistent with good practice. We recommended that the reference to damage to property be removed and </w:t>
      </w:r>
      <w:r w:rsidRPr="005830CE">
        <w:t xml:space="preserve">that </w:t>
      </w:r>
      <w:r w:rsidR="00850AF2" w:rsidRPr="005830CE">
        <w:t xml:space="preserve">in producing guidance for case managers </w:t>
      </w:r>
      <w:r w:rsidRPr="005830CE">
        <w:t xml:space="preserve">the </w:t>
      </w:r>
      <w:r w:rsidR="00584BDF" w:rsidRPr="005830CE">
        <w:t xml:space="preserve">Scottish Government </w:t>
      </w:r>
      <w:r w:rsidR="00850AF2" w:rsidRPr="005830CE">
        <w:t xml:space="preserve">should </w:t>
      </w:r>
      <w:r w:rsidR="000144A0" w:rsidRPr="005830CE">
        <w:t>consider wider concerns about use of physical restraint.</w:t>
      </w:r>
      <w:r w:rsidR="000144A0" w:rsidRPr="005830CE">
        <w:rPr>
          <w:szCs w:val="22"/>
        </w:rPr>
        <w:t xml:space="preserve"> </w:t>
      </w:r>
    </w:p>
    <w:p w:rsidR="006735DB" w:rsidRPr="005830CE" w:rsidRDefault="006735DB" w:rsidP="000144A0">
      <w:pPr>
        <w:tabs>
          <w:tab w:val="left" w:pos="4680"/>
          <w:tab w:val="left" w:pos="5400"/>
          <w:tab w:val="right" w:pos="9000"/>
        </w:tabs>
        <w:rPr>
          <w:szCs w:val="22"/>
        </w:rPr>
      </w:pPr>
    </w:p>
    <w:p w:rsidR="006A5B00" w:rsidRPr="005830CE" w:rsidRDefault="008D2068" w:rsidP="000144A0">
      <w:pPr>
        <w:tabs>
          <w:tab w:val="left" w:pos="4680"/>
          <w:tab w:val="left" w:pos="5400"/>
          <w:tab w:val="right" w:pos="9000"/>
        </w:tabs>
        <w:rPr>
          <w:szCs w:val="22"/>
        </w:rPr>
      </w:pPr>
      <w:r w:rsidRPr="005830CE">
        <w:rPr>
          <w:szCs w:val="22"/>
        </w:rPr>
        <w:t>We are pleased to see that t</w:t>
      </w:r>
      <w:r w:rsidR="000144A0" w:rsidRPr="005830CE">
        <w:rPr>
          <w:szCs w:val="22"/>
        </w:rPr>
        <w:t xml:space="preserve">he revised </w:t>
      </w:r>
      <w:r w:rsidR="00FC3945">
        <w:rPr>
          <w:szCs w:val="22"/>
        </w:rPr>
        <w:t>draft regulations remove</w:t>
      </w:r>
      <w:r w:rsidR="000144A0" w:rsidRPr="005830CE">
        <w:rPr>
          <w:szCs w:val="22"/>
        </w:rPr>
        <w:t xml:space="preserve"> the reference to damage to property</w:t>
      </w:r>
      <w:r w:rsidRPr="005830CE">
        <w:rPr>
          <w:szCs w:val="22"/>
        </w:rPr>
        <w:t>.</w:t>
      </w:r>
      <w:r w:rsidR="000144A0" w:rsidRPr="005830CE">
        <w:rPr>
          <w:szCs w:val="22"/>
        </w:rPr>
        <w:t xml:space="preserve"> </w:t>
      </w:r>
      <w:r w:rsidRPr="005830CE">
        <w:rPr>
          <w:szCs w:val="22"/>
        </w:rPr>
        <w:t>In</w:t>
      </w:r>
      <w:r w:rsidR="000144A0" w:rsidRPr="005830CE">
        <w:rPr>
          <w:szCs w:val="22"/>
        </w:rPr>
        <w:t xml:space="preserve"> addition</w:t>
      </w:r>
      <w:r w:rsidRPr="005830CE">
        <w:rPr>
          <w:szCs w:val="22"/>
        </w:rPr>
        <w:t>, it</w:t>
      </w:r>
      <w:r w:rsidR="000144A0" w:rsidRPr="005830CE">
        <w:rPr>
          <w:szCs w:val="22"/>
        </w:rPr>
        <w:t xml:space="preserve"> adds specific detail </w:t>
      </w:r>
      <w:r w:rsidRPr="005830CE">
        <w:rPr>
          <w:szCs w:val="22"/>
        </w:rPr>
        <w:t xml:space="preserve">about </w:t>
      </w:r>
      <w:r w:rsidR="00837113">
        <w:rPr>
          <w:szCs w:val="22"/>
        </w:rPr>
        <w:t>positive behavioural s</w:t>
      </w:r>
      <w:r w:rsidR="000144A0" w:rsidRPr="005830CE">
        <w:rPr>
          <w:szCs w:val="22"/>
        </w:rPr>
        <w:t>upport plans, the accepted best practice framework within health, social care and educational services relating to interventions to reduce and prevent challenging behaviour.</w:t>
      </w:r>
    </w:p>
    <w:p w:rsidR="00FF2690" w:rsidRPr="005830CE" w:rsidRDefault="00FF2690" w:rsidP="000144A0">
      <w:pPr>
        <w:tabs>
          <w:tab w:val="left" w:pos="4680"/>
          <w:tab w:val="left" w:pos="5400"/>
          <w:tab w:val="right" w:pos="9000"/>
        </w:tabs>
        <w:rPr>
          <w:szCs w:val="22"/>
        </w:rPr>
      </w:pPr>
    </w:p>
    <w:p w:rsidR="008D2068" w:rsidRPr="005830CE" w:rsidRDefault="001745AB" w:rsidP="000144A0">
      <w:pPr>
        <w:tabs>
          <w:tab w:val="left" w:pos="4680"/>
          <w:tab w:val="left" w:pos="5400"/>
          <w:tab w:val="right" w:pos="9000"/>
        </w:tabs>
        <w:rPr>
          <w:szCs w:val="22"/>
        </w:rPr>
      </w:pPr>
      <w:r w:rsidRPr="005830CE">
        <w:rPr>
          <w:szCs w:val="22"/>
        </w:rPr>
        <w:t xml:space="preserve">Stakeholders </w:t>
      </w:r>
      <w:r w:rsidR="008D2068" w:rsidRPr="005830CE">
        <w:rPr>
          <w:szCs w:val="22"/>
        </w:rPr>
        <w:t xml:space="preserve">have told SCoSS that they </w:t>
      </w:r>
      <w:r w:rsidRPr="005830CE">
        <w:rPr>
          <w:szCs w:val="22"/>
        </w:rPr>
        <w:t xml:space="preserve">welcome the change. </w:t>
      </w:r>
      <w:r w:rsidR="008D2068" w:rsidRPr="005830CE">
        <w:rPr>
          <w:szCs w:val="22"/>
        </w:rPr>
        <w:t>However,</w:t>
      </w:r>
      <w:r w:rsidRPr="005830CE">
        <w:rPr>
          <w:szCs w:val="22"/>
        </w:rPr>
        <w:t xml:space="preserve"> </w:t>
      </w:r>
      <w:r w:rsidR="00FF2690" w:rsidRPr="005830CE">
        <w:rPr>
          <w:szCs w:val="22"/>
        </w:rPr>
        <w:t xml:space="preserve">CPAG asks whether </w:t>
      </w:r>
      <w:r w:rsidRPr="005830CE">
        <w:rPr>
          <w:szCs w:val="22"/>
        </w:rPr>
        <w:t xml:space="preserve">all interventions must be described in a </w:t>
      </w:r>
      <w:r w:rsidR="00837113">
        <w:rPr>
          <w:szCs w:val="22"/>
        </w:rPr>
        <w:t xml:space="preserve">positive behavioural </w:t>
      </w:r>
      <w:r w:rsidRPr="005830CE">
        <w:rPr>
          <w:szCs w:val="22"/>
        </w:rPr>
        <w:t>support plan, and</w:t>
      </w:r>
      <w:r w:rsidR="00736778" w:rsidRPr="005830CE">
        <w:rPr>
          <w:szCs w:val="22"/>
        </w:rPr>
        <w:t>, if so</w:t>
      </w:r>
      <w:r w:rsidR="00837113">
        <w:rPr>
          <w:szCs w:val="22"/>
        </w:rPr>
        <w:t>,</w:t>
      </w:r>
      <w:r w:rsidRPr="005830CE">
        <w:rPr>
          <w:szCs w:val="22"/>
        </w:rPr>
        <w:t xml:space="preserve"> whether </w:t>
      </w:r>
      <w:r w:rsidR="00FF2690" w:rsidRPr="005830CE">
        <w:rPr>
          <w:szCs w:val="22"/>
        </w:rPr>
        <w:t xml:space="preserve">that means a child would need to have </w:t>
      </w:r>
      <w:r w:rsidR="00912BFF">
        <w:rPr>
          <w:szCs w:val="22"/>
        </w:rPr>
        <w:t xml:space="preserve">such </w:t>
      </w:r>
      <w:r w:rsidR="00FF2690" w:rsidRPr="005830CE">
        <w:rPr>
          <w:szCs w:val="22"/>
        </w:rPr>
        <w:t xml:space="preserve">a </w:t>
      </w:r>
      <w:r w:rsidRPr="005830CE">
        <w:rPr>
          <w:szCs w:val="22"/>
        </w:rPr>
        <w:t xml:space="preserve">plan to qualify. </w:t>
      </w:r>
      <w:r w:rsidR="008D2068" w:rsidRPr="005830CE">
        <w:rPr>
          <w:szCs w:val="22"/>
        </w:rPr>
        <w:t xml:space="preserve">If this were the case, </w:t>
      </w:r>
      <w:r w:rsidR="00736778" w:rsidRPr="005830CE">
        <w:rPr>
          <w:szCs w:val="22"/>
        </w:rPr>
        <w:t xml:space="preserve">it </w:t>
      </w:r>
      <w:r w:rsidR="008D2068" w:rsidRPr="005830CE">
        <w:rPr>
          <w:szCs w:val="22"/>
        </w:rPr>
        <w:t>may create an unintended barrier to eligibility under this route</w:t>
      </w:r>
      <w:r w:rsidR="00912BFF">
        <w:rPr>
          <w:szCs w:val="22"/>
        </w:rPr>
        <w:t>,</w:t>
      </w:r>
      <w:r w:rsidR="008D2068" w:rsidRPr="005830CE">
        <w:rPr>
          <w:szCs w:val="22"/>
        </w:rPr>
        <w:t xml:space="preserve"> for example</w:t>
      </w:r>
      <w:r w:rsidR="00912BFF">
        <w:rPr>
          <w:szCs w:val="22"/>
        </w:rPr>
        <w:t>,</w:t>
      </w:r>
      <w:r w:rsidR="008D2068" w:rsidRPr="005830CE">
        <w:rPr>
          <w:szCs w:val="22"/>
        </w:rPr>
        <w:t xml:space="preserve"> for children who are waiting to be assessed for a </w:t>
      </w:r>
      <w:r w:rsidR="00837113">
        <w:rPr>
          <w:szCs w:val="22"/>
        </w:rPr>
        <w:t xml:space="preserve">positive behavioural </w:t>
      </w:r>
      <w:r w:rsidR="008D2068" w:rsidRPr="005830CE">
        <w:rPr>
          <w:szCs w:val="22"/>
        </w:rPr>
        <w:t xml:space="preserve">support plan. </w:t>
      </w:r>
      <w:r w:rsidR="007970F5" w:rsidRPr="005830CE">
        <w:rPr>
          <w:szCs w:val="22"/>
        </w:rPr>
        <w:t>Officials have clarified the policy intention</w:t>
      </w:r>
      <w:r w:rsidR="00DA2009">
        <w:rPr>
          <w:szCs w:val="22"/>
        </w:rPr>
        <w:t>: i</w:t>
      </w:r>
      <w:r w:rsidR="007970F5" w:rsidRPr="005830CE">
        <w:rPr>
          <w:szCs w:val="22"/>
        </w:rPr>
        <w:t xml:space="preserve">nterventions in a </w:t>
      </w:r>
      <w:r w:rsidR="00837113">
        <w:rPr>
          <w:szCs w:val="22"/>
        </w:rPr>
        <w:t xml:space="preserve">positive behavioural </w:t>
      </w:r>
      <w:r w:rsidR="007970F5" w:rsidRPr="005830CE">
        <w:rPr>
          <w:szCs w:val="22"/>
        </w:rPr>
        <w:t>support plan will be evidence of challenging behaviour but other evidence can also</w:t>
      </w:r>
      <w:r w:rsidR="00216A7E">
        <w:rPr>
          <w:szCs w:val="22"/>
        </w:rPr>
        <w:t xml:space="preserve"> be relevant</w:t>
      </w:r>
      <w:r w:rsidR="00FC3945">
        <w:rPr>
          <w:szCs w:val="22"/>
        </w:rPr>
        <w:t>,</w:t>
      </w:r>
      <w:r w:rsidR="00216A7E">
        <w:rPr>
          <w:szCs w:val="22"/>
        </w:rPr>
        <w:t xml:space="preserve"> therefore</w:t>
      </w:r>
      <w:r w:rsidR="00FC3945">
        <w:rPr>
          <w:szCs w:val="22"/>
        </w:rPr>
        <w:t>,</w:t>
      </w:r>
      <w:r w:rsidR="00216A7E">
        <w:rPr>
          <w:szCs w:val="22"/>
        </w:rPr>
        <w:t xml:space="preserve"> having </w:t>
      </w:r>
      <w:r w:rsidR="00837113">
        <w:rPr>
          <w:szCs w:val="22"/>
        </w:rPr>
        <w:t>such a</w:t>
      </w:r>
      <w:r w:rsidR="007970F5" w:rsidRPr="005830CE">
        <w:rPr>
          <w:szCs w:val="22"/>
        </w:rPr>
        <w:t xml:space="preserve"> plan is not required to qualify for higher rate mobility </w:t>
      </w:r>
      <w:r w:rsidR="00E90B69">
        <w:rPr>
          <w:szCs w:val="22"/>
        </w:rPr>
        <w:t xml:space="preserve">component </w:t>
      </w:r>
      <w:r w:rsidR="007970F5" w:rsidRPr="005830CE">
        <w:rPr>
          <w:szCs w:val="22"/>
        </w:rPr>
        <w:t xml:space="preserve">through the severe mental </w:t>
      </w:r>
      <w:r w:rsidR="00265DC9" w:rsidRPr="005830CE">
        <w:rPr>
          <w:szCs w:val="22"/>
        </w:rPr>
        <w:t>i</w:t>
      </w:r>
      <w:r w:rsidR="007970F5" w:rsidRPr="005830CE">
        <w:rPr>
          <w:szCs w:val="22"/>
        </w:rPr>
        <w:t>mpairment/</w:t>
      </w:r>
      <w:r w:rsidR="00265DC9" w:rsidRPr="005830CE">
        <w:rPr>
          <w:szCs w:val="22"/>
        </w:rPr>
        <w:t xml:space="preserve"> </w:t>
      </w:r>
      <w:r w:rsidR="007970F5" w:rsidRPr="005830CE">
        <w:rPr>
          <w:szCs w:val="22"/>
        </w:rPr>
        <w:t xml:space="preserve">behavioural difficulties route. </w:t>
      </w:r>
      <w:r w:rsidR="008D2068" w:rsidRPr="005830CE">
        <w:rPr>
          <w:szCs w:val="22"/>
        </w:rPr>
        <w:t>Th</w:t>
      </w:r>
      <w:r w:rsidR="00DA2009">
        <w:rPr>
          <w:szCs w:val="22"/>
        </w:rPr>
        <w:t>is</w:t>
      </w:r>
      <w:r w:rsidR="008D2068" w:rsidRPr="005830CE">
        <w:rPr>
          <w:szCs w:val="22"/>
        </w:rPr>
        <w:t xml:space="preserve"> policy intention could be clarified by amending regulation 7(7)(b).</w:t>
      </w:r>
    </w:p>
    <w:p w:rsidR="007970F5" w:rsidRPr="005830CE" w:rsidRDefault="007970F5" w:rsidP="000144A0">
      <w:pPr>
        <w:tabs>
          <w:tab w:val="left" w:pos="4680"/>
          <w:tab w:val="left" w:pos="5400"/>
          <w:tab w:val="right" w:pos="9000"/>
        </w:tabs>
        <w:rPr>
          <w:szCs w:val="22"/>
        </w:rPr>
      </w:pPr>
    </w:p>
    <w:p w:rsidR="008D2068" w:rsidRDefault="007970F5" w:rsidP="000144A0">
      <w:pPr>
        <w:tabs>
          <w:tab w:val="left" w:pos="4680"/>
          <w:tab w:val="left" w:pos="5400"/>
          <w:tab w:val="right" w:pos="9000"/>
        </w:tabs>
        <w:rPr>
          <w:b/>
          <w:szCs w:val="22"/>
        </w:rPr>
      </w:pPr>
      <w:r w:rsidRPr="005830CE">
        <w:rPr>
          <w:b/>
          <w:szCs w:val="22"/>
        </w:rPr>
        <w:t>Recommendation</w:t>
      </w:r>
      <w:r w:rsidR="002A7FFA">
        <w:rPr>
          <w:b/>
          <w:szCs w:val="22"/>
        </w:rPr>
        <w:t xml:space="preserve"> 4</w:t>
      </w:r>
      <w:r w:rsidRPr="005830CE">
        <w:rPr>
          <w:b/>
          <w:szCs w:val="22"/>
        </w:rPr>
        <w:t xml:space="preserve">: The Scottish Government should </w:t>
      </w:r>
      <w:r w:rsidR="003B2313" w:rsidRPr="005830CE">
        <w:rPr>
          <w:b/>
          <w:szCs w:val="22"/>
        </w:rPr>
        <w:t>amend the regulations to clarify the</w:t>
      </w:r>
      <w:r w:rsidRPr="005830CE">
        <w:rPr>
          <w:b/>
          <w:szCs w:val="22"/>
        </w:rPr>
        <w:t xml:space="preserve"> policy intention </w:t>
      </w:r>
      <w:r w:rsidR="00845A0F" w:rsidRPr="005830CE">
        <w:rPr>
          <w:b/>
          <w:szCs w:val="22"/>
        </w:rPr>
        <w:t xml:space="preserve">that interventions in a positive behavioural support plan are </w:t>
      </w:r>
      <w:r w:rsidR="00400DBC" w:rsidRPr="005830CE">
        <w:rPr>
          <w:b/>
          <w:szCs w:val="22"/>
        </w:rPr>
        <w:t xml:space="preserve">evidence </w:t>
      </w:r>
      <w:r w:rsidR="00072696" w:rsidRPr="005830CE">
        <w:rPr>
          <w:b/>
          <w:szCs w:val="22"/>
        </w:rPr>
        <w:t xml:space="preserve">but having </w:t>
      </w:r>
      <w:r w:rsidR="00216A7E">
        <w:rPr>
          <w:b/>
          <w:szCs w:val="22"/>
        </w:rPr>
        <w:t xml:space="preserve">such </w:t>
      </w:r>
      <w:r w:rsidR="00072696" w:rsidRPr="005830CE">
        <w:rPr>
          <w:b/>
          <w:szCs w:val="22"/>
        </w:rPr>
        <w:t xml:space="preserve">a plan is </w:t>
      </w:r>
      <w:r w:rsidR="00845A0F" w:rsidRPr="005830CE">
        <w:rPr>
          <w:b/>
          <w:szCs w:val="22"/>
        </w:rPr>
        <w:t>not required for a child to be accepted as having ‘severe behavioural difficulties’.</w:t>
      </w:r>
    </w:p>
    <w:p w:rsidR="002A7FFA" w:rsidRPr="002A7FFA" w:rsidRDefault="002A7FFA" w:rsidP="000144A0">
      <w:pPr>
        <w:tabs>
          <w:tab w:val="left" w:pos="4680"/>
          <w:tab w:val="left" w:pos="5400"/>
          <w:tab w:val="right" w:pos="9000"/>
        </w:tabs>
        <w:rPr>
          <w:b/>
          <w:szCs w:val="22"/>
        </w:rPr>
      </w:pPr>
    </w:p>
    <w:p w:rsidR="008B00A7" w:rsidRPr="005830CE" w:rsidRDefault="008B00A7" w:rsidP="00A07717">
      <w:pPr>
        <w:pStyle w:val="Heading2"/>
        <w:rPr>
          <w:rFonts w:cs="Arial"/>
          <w:b/>
          <w:color w:val="000000" w:themeColor="text1"/>
          <w:szCs w:val="24"/>
        </w:rPr>
      </w:pPr>
      <w:bookmarkStart w:id="12" w:name="_Toc59010238"/>
      <w:r w:rsidRPr="005830CE">
        <w:rPr>
          <w:rFonts w:cs="Arial"/>
          <w:b/>
          <w:color w:val="000000" w:themeColor="text1"/>
          <w:szCs w:val="24"/>
        </w:rPr>
        <w:lastRenderedPageBreak/>
        <w:t>Drafting issue relating to artificial aids</w:t>
      </w:r>
      <w:bookmarkEnd w:id="12"/>
    </w:p>
    <w:p w:rsidR="008E70ED" w:rsidRPr="00FC3945" w:rsidRDefault="000A2D94" w:rsidP="00584BDF">
      <w:pPr>
        <w:tabs>
          <w:tab w:val="left" w:pos="4680"/>
          <w:tab w:val="left" w:pos="5400"/>
          <w:tab w:val="right" w:pos="9000"/>
        </w:tabs>
        <w:rPr>
          <w:szCs w:val="22"/>
        </w:rPr>
      </w:pPr>
      <w:r w:rsidRPr="005830CE">
        <w:rPr>
          <w:szCs w:val="22"/>
        </w:rPr>
        <w:t xml:space="preserve">Whether a child qualifies for higher rate mobility </w:t>
      </w:r>
      <w:r w:rsidR="00E90B69">
        <w:rPr>
          <w:szCs w:val="22"/>
        </w:rPr>
        <w:t xml:space="preserve">component </w:t>
      </w:r>
      <w:r w:rsidRPr="005830CE">
        <w:rPr>
          <w:szCs w:val="22"/>
        </w:rPr>
        <w:t>through being unable or virtually unable to walk takes into account their walking ability using any suitable walking aid or prosthesis</w:t>
      </w:r>
      <w:r w:rsidR="008E70ED" w:rsidRPr="005830CE">
        <w:rPr>
          <w:szCs w:val="22"/>
        </w:rPr>
        <w:t xml:space="preserve">. We are pleased that regulations have been amended to be more explicit that the need to use walking aids does not disqualify a child </w:t>
      </w:r>
      <w:r w:rsidR="008E70ED" w:rsidRPr="00FC3945">
        <w:rPr>
          <w:szCs w:val="22"/>
        </w:rPr>
        <w:t>with prosthetic legs</w:t>
      </w:r>
      <w:r w:rsidR="004C258F" w:rsidRPr="00FC3945">
        <w:rPr>
          <w:szCs w:val="22"/>
        </w:rPr>
        <w:t>, as we recommended in our original report</w:t>
      </w:r>
      <w:r w:rsidR="008E70ED" w:rsidRPr="00FC3945">
        <w:rPr>
          <w:szCs w:val="22"/>
        </w:rPr>
        <w:t>.</w:t>
      </w:r>
      <w:r w:rsidR="004C258F" w:rsidRPr="00FC3945">
        <w:rPr>
          <w:rStyle w:val="FootnoteReference"/>
          <w:szCs w:val="22"/>
        </w:rPr>
        <w:footnoteReference w:id="15"/>
      </w:r>
      <w:r w:rsidR="008E70ED" w:rsidRPr="00FC3945">
        <w:rPr>
          <w:szCs w:val="22"/>
        </w:rPr>
        <w:t xml:space="preserve"> However, we suggest that the regulation would be clearer still if it was explicit that walking aids and prostheses were also irrelevant to the other routes to qualifying for higher rate mobility </w:t>
      </w:r>
      <w:r w:rsidR="00E90B69">
        <w:rPr>
          <w:szCs w:val="22"/>
        </w:rPr>
        <w:t xml:space="preserve">component </w:t>
      </w:r>
      <w:r w:rsidR="008E70ED" w:rsidRPr="00FC3945">
        <w:rPr>
          <w:szCs w:val="22"/>
        </w:rPr>
        <w:t>(in regulation 7(2)(e) to (g)).</w:t>
      </w:r>
      <w:r w:rsidR="004C258F" w:rsidRPr="00FC3945">
        <w:rPr>
          <w:szCs w:val="22"/>
        </w:rPr>
        <w:t xml:space="preserve"> This would </w:t>
      </w:r>
      <w:r w:rsidR="00912BFF" w:rsidRPr="00FC3945">
        <w:rPr>
          <w:szCs w:val="22"/>
        </w:rPr>
        <w:t xml:space="preserve">also </w:t>
      </w:r>
      <w:r w:rsidR="004C258F" w:rsidRPr="00FC3945">
        <w:rPr>
          <w:szCs w:val="22"/>
        </w:rPr>
        <w:t xml:space="preserve">ensure that the draft regulations </w:t>
      </w:r>
      <w:r w:rsidR="00912BFF" w:rsidRPr="00FC3945">
        <w:rPr>
          <w:szCs w:val="22"/>
        </w:rPr>
        <w:t xml:space="preserve">were </w:t>
      </w:r>
      <w:r w:rsidR="004C258F" w:rsidRPr="00FC3945">
        <w:rPr>
          <w:szCs w:val="22"/>
        </w:rPr>
        <w:t xml:space="preserve">consistent with relevant DLA provisions. </w:t>
      </w:r>
    </w:p>
    <w:p w:rsidR="008E70ED" w:rsidRPr="00FC3945" w:rsidRDefault="008E70ED" w:rsidP="00584BDF">
      <w:pPr>
        <w:tabs>
          <w:tab w:val="left" w:pos="4680"/>
          <w:tab w:val="left" w:pos="5400"/>
          <w:tab w:val="right" w:pos="9000"/>
        </w:tabs>
        <w:rPr>
          <w:szCs w:val="22"/>
        </w:rPr>
      </w:pPr>
    </w:p>
    <w:p w:rsidR="008B00A7" w:rsidRPr="00FC3945" w:rsidRDefault="008E70ED" w:rsidP="000144A0">
      <w:pPr>
        <w:tabs>
          <w:tab w:val="left" w:pos="4680"/>
          <w:tab w:val="left" w:pos="5400"/>
          <w:tab w:val="right" w:pos="9000"/>
        </w:tabs>
        <w:rPr>
          <w:b/>
          <w:szCs w:val="22"/>
        </w:rPr>
      </w:pPr>
      <w:r w:rsidRPr="00FC3945">
        <w:rPr>
          <w:b/>
          <w:szCs w:val="22"/>
        </w:rPr>
        <w:t>Recommendation</w:t>
      </w:r>
      <w:r w:rsidR="002A7FFA">
        <w:rPr>
          <w:b/>
          <w:szCs w:val="22"/>
        </w:rPr>
        <w:t xml:space="preserve"> 5</w:t>
      </w:r>
      <w:r w:rsidRPr="00FC3945">
        <w:rPr>
          <w:b/>
          <w:szCs w:val="22"/>
        </w:rPr>
        <w:t>:</w:t>
      </w:r>
      <w:r w:rsidR="004C258F" w:rsidRPr="00FC3945">
        <w:rPr>
          <w:b/>
          <w:szCs w:val="22"/>
        </w:rPr>
        <w:t xml:space="preserve"> </w:t>
      </w:r>
      <w:r w:rsidRPr="00FC3945">
        <w:rPr>
          <w:b/>
          <w:szCs w:val="22"/>
        </w:rPr>
        <w:t xml:space="preserve">The Scottish Government </w:t>
      </w:r>
      <w:r w:rsidR="00736778" w:rsidRPr="00FC3945">
        <w:rPr>
          <w:b/>
          <w:szCs w:val="22"/>
        </w:rPr>
        <w:t xml:space="preserve">should </w:t>
      </w:r>
      <w:r w:rsidRPr="00FC3945">
        <w:rPr>
          <w:b/>
          <w:szCs w:val="22"/>
        </w:rPr>
        <w:t>ensure that regulation 7(3) is explicit</w:t>
      </w:r>
      <w:r w:rsidR="006734AE" w:rsidRPr="00FC3945">
        <w:rPr>
          <w:b/>
          <w:szCs w:val="22"/>
        </w:rPr>
        <w:t xml:space="preserve"> about which routes to qualifying for higher rate mobility are affected by </w:t>
      </w:r>
      <w:r w:rsidR="00530DAE" w:rsidRPr="00FC3945">
        <w:rPr>
          <w:b/>
          <w:szCs w:val="22"/>
        </w:rPr>
        <w:t xml:space="preserve">a </w:t>
      </w:r>
      <w:r w:rsidR="00530DAE" w:rsidRPr="00FC3945">
        <w:rPr>
          <w:b/>
        </w:rPr>
        <w:t xml:space="preserve">child’s </w:t>
      </w:r>
      <w:r w:rsidR="006734AE" w:rsidRPr="00FC3945">
        <w:rPr>
          <w:b/>
          <w:szCs w:val="22"/>
        </w:rPr>
        <w:t>ability to walk using an artificial limb or artificial aid.</w:t>
      </w:r>
    </w:p>
    <w:p w:rsidR="00623C84" w:rsidRPr="005830CE" w:rsidRDefault="00623C84" w:rsidP="002A7FFA"/>
    <w:p w:rsidR="00623C84" w:rsidRPr="005830CE" w:rsidRDefault="00623C84" w:rsidP="00623C84">
      <w:pPr>
        <w:pStyle w:val="Heading2"/>
        <w:rPr>
          <w:rFonts w:cs="Arial"/>
          <w:b/>
          <w:color w:val="000000" w:themeColor="text1"/>
        </w:rPr>
      </w:pPr>
      <w:bookmarkStart w:id="13" w:name="_Toc59010239"/>
      <w:r w:rsidRPr="005830CE">
        <w:rPr>
          <w:rFonts w:cs="Arial"/>
          <w:b/>
          <w:color w:val="000000" w:themeColor="text1"/>
        </w:rPr>
        <w:t>Unable or virtually unable to walk as an outdoor test</w:t>
      </w:r>
      <w:bookmarkEnd w:id="13"/>
    </w:p>
    <w:p w:rsidR="00BE7DF5" w:rsidRDefault="00623C84" w:rsidP="002A7FFA">
      <w:r w:rsidRPr="005830CE">
        <w:t xml:space="preserve">The test of whether a child is unable or virtually unable to walk </w:t>
      </w:r>
      <w:r w:rsidR="00A54477" w:rsidRPr="005830CE">
        <w:t xml:space="preserve">for DLA </w:t>
      </w:r>
      <w:r w:rsidR="00CC428C" w:rsidRPr="005830CE">
        <w:t xml:space="preserve">higher rate mobility </w:t>
      </w:r>
      <w:r w:rsidR="00E90B69">
        <w:t xml:space="preserve">component </w:t>
      </w:r>
      <w:r w:rsidRPr="005830CE">
        <w:t xml:space="preserve">has always been an outdoors test taking no account of a child’s particular surroundings such as living on a hill. </w:t>
      </w:r>
      <w:r w:rsidR="00CC428C" w:rsidRPr="005830CE">
        <w:t xml:space="preserve">We understand that the policy intention for CDP is that it should also be an outdoors test. </w:t>
      </w:r>
      <w:r w:rsidRPr="005830CE">
        <w:t xml:space="preserve">However, </w:t>
      </w:r>
      <w:r w:rsidR="00265DC9" w:rsidRPr="005830CE">
        <w:t xml:space="preserve">the </w:t>
      </w:r>
      <w:r w:rsidR="00A8152F" w:rsidRPr="005830CE">
        <w:t xml:space="preserve">draft </w:t>
      </w:r>
      <w:r w:rsidRPr="005830CE">
        <w:t xml:space="preserve">DACYP </w:t>
      </w:r>
      <w:r w:rsidR="00A8152F" w:rsidRPr="005830CE">
        <w:t>regulations</w:t>
      </w:r>
      <w:r w:rsidR="00C007DF" w:rsidRPr="005830CE">
        <w:t xml:space="preserve"> do not specify this</w:t>
      </w:r>
      <w:r w:rsidR="00CC428C" w:rsidRPr="005830CE">
        <w:t xml:space="preserve"> (regulation 7). This misalignment with DLA c</w:t>
      </w:r>
      <w:r w:rsidR="00C007DF" w:rsidRPr="005830CE">
        <w:t>ould have the effect of case</w:t>
      </w:r>
      <w:r w:rsidR="00714241">
        <w:t xml:space="preserve"> </w:t>
      </w:r>
      <w:r w:rsidR="00C007DF" w:rsidRPr="005830CE">
        <w:t xml:space="preserve">law no longer applying to CDP. </w:t>
      </w:r>
    </w:p>
    <w:p w:rsidR="002A7FFA" w:rsidRPr="002A7FFA" w:rsidRDefault="002A7FFA" w:rsidP="002A7FFA"/>
    <w:p w:rsidR="00CC428C" w:rsidRDefault="00F32DD9" w:rsidP="00F32DD9">
      <w:pPr>
        <w:rPr>
          <w:b/>
        </w:rPr>
      </w:pPr>
      <w:r w:rsidRPr="005830CE">
        <w:rPr>
          <w:b/>
        </w:rPr>
        <w:t>Recommendation</w:t>
      </w:r>
      <w:r w:rsidR="002A7FFA">
        <w:rPr>
          <w:b/>
        </w:rPr>
        <w:t xml:space="preserve"> 6</w:t>
      </w:r>
      <w:r w:rsidRPr="005830CE">
        <w:rPr>
          <w:b/>
        </w:rPr>
        <w:t xml:space="preserve">: </w:t>
      </w:r>
      <w:r w:rsidR="00CC428C" w:rsidRPr="005830CE">
        <w:rPr>
          <w:b/>
        </w:rPr>
        <w:t xml:space="preserve">The Scottish Government should ensure that the policy intention </w:t>
      </w:r>
      <w:r w:rsidR="009C604B" w:rsidRPr="005830CE">
        <w:rPr>
          <w:b/>
        </w:rPr>
        <w:t xml:space="preserve">relating to </w:t>
      </w:r>
      <w:r w:rsidR="00530DAE" w:rsidRPr="005830CE">
        <w:rPr>
          <w:b/>
        </w:rPr>
        <w:t>a child’s</w:t>
      </w:r>
      <w:r w:rsidR="00901EA0" w:rsidRPr="005830CE">
        <w:rPr>
          <w:b/>
        </w:rPr>
        <w:t xml:space="preserve"> </w:t>
      </w:r>
      <w:r w:rsidR="009C604B" w:rsidRPr="005830CE">
        <w:rPr>
          <w:b/>
        </w:rPr>
        <w:t xml:space="preserve">ability to walk out of doors </w:t>
      </w:r>
      <w:r w:rsidR="00CC428C" w:rsidRPr="005830CE">
        <w:rPr>
          <w:b/>
        </w:rPr>
        <w:t>is clear in regulations and guidance</w:t>
      </w:r>
      <w:r w:rsidR="009C604B" w:rsidRPr="005830CE">
        <w:rPr>
          <w:b/>
        </w:rPr>
        <w:t>.</w:t>
      </w:r>
    </w:p>
    <w:p w:rsidR="004620B4" w:rsidRPr="005830CE" w:rsidRDefault="004620B4" w:rsidP="009C604B">
      <w:pPr>
        <w:tabs>
          <w:tab w:val="left" w:pos="4680"/>
          <w:tab w:val="left" w:pos="5400"/>
          <w:tab w:val="right" w:pos="9000"/>
        </w:tabs>
        <w:rPr>
          <w:szCs w:val="22"/>
        </w:rPr>
      </w:pPr>
    </w:p>
    <w:p w:rsidR="00BE7DF5" w:rsidRPr="005830CE" w:rsidRDefault="00BE7DF5" w:rsidP="00A07717">
      <w:pPr>
        <w:pStyle w:val="Heading2"/>
        <w:rPr>
          <w:rFonts w:cs="Arial"/>
          <w:b/>
          <w:color w:val="000000" w:themeColor="text1"/>
          <w:szCs w:val="24"/>
        </w:rPr>
      </w:pPr>
      <w:bookmarkStart w:id="14" w:name="_Toc59010240"/>
      <w:r w:rsidRPr="005830CE">
        <w:rPr>
          <w:rFonts w:cs="Arial"/>
          <w:b/>
          <w:color w:val="000000" w:themeColor="text1"/>
          <w:szCs w:val="24"/>
        </w:rPr>
        <w:t xml:space="preserve">Lower rate mobility </w:t>
      </w:r>
      <w:r w:rsidR="00CB381A" w:rsidRPr="005830CE">
        <w:rPr>
          <w:rFonts w:cs="Arial"/>
          <w:b/>
          <w:color w:val="000000" w:themeColor="text1"/>
          <w:szCs w:val="24"/>
        </w:rPr>
        <w:t>eligibility depending on physical or mental impairment</w:t>
      </w:r>
      <w:bookmarkEnd w:id="14"/>
    </w:p>
    <w:p w:rsidR="007625C8" w:rsidRPr="005830CE" w:rsidRDefault="00A8152F" w:rsidP="00CB381A">
      <w:pPr>
        <w:pStyle w:val="Default"/>
        <w:rPr>
          <w:sz w:val="28"/>
          <w:szCs w:val="28"/>
        </w:rPr>
      </w:pPr>
      <w:r w:rsidRPr="005830CE">
        <w:rPr>
          <w:sz w:val="28"/>
          <w:szCs w:val="28"/>
        </w:rPr>
        <w:t xml:space="preserve">Our original report </w:t>
      </w:r>
      <w:r w:rsidR="00CB381A" w:rsidRPr="005830CE">
        <w:rPr>
          <w:sz w:val="28"/>
          <w:szCs w:val="28"/>
        </w:rPr>
        <w:t>noted that</w:t>
      </w:r>
      <w:r w:rsidRPr="005830CE">
        <w:rPr>
          <w:sz w:val="28"/>
          <w:szCs w:val="28"/>
        </w:rPr>
        <w:t>, under</w:t>
      </w:r>
      <w:r w:rsidR="00CB381A" w:rsidRPr="005830CE">
        <w:rPr>
          <w:sz w:val="28"/>
          <w:szCs w:val="28"/>
        </w:rPr>
        <w:t xml:space="preserve"> the </w:t>
      </w:r>
      <w:r w:rsidRPr="005830CE">
        <w:rPr>
          <w:sz w:val="28"/>
          <w:szCs w:val="28"/>
        </w:rPr>
        <w:t xml:space="preserve">Social Security (Scotland) Act 2018, </w:t>
      </w:r>
      <w:r w:rsidR="00CB381A" w:rsidRPr="005830CE">
        <w:rPr>
          <w:sz w:val="28"/>
          <w:szCs w:val="28"/>
        </w:rPr>
        <w:t>disability assistance regulations must be framed so that eligibility depends on having a</w:t>
      </w:r>
      <w:r w:rsidR="00791836" w:rsidRPr="005830CE">
        <w:rPr>
          <w:sz w:val="28"/>
          <w:szCs w:val="28"/>
        </w:rPr>
        <w:t xml:space="preserve"> physical or mental impairment. However, </w:t>
      </w:r>
      <w:r w:rsidR="00736778" w:rsidRPr="005830CE">
        <w:rPr>
          <w:sz w:val="28"/>
          <w:szCs w:val="28"/>
        </w:rPr>
        <w:t xml:space="preserve">the original </w:t>
      </w:r>
      <w:r w:rsidR="00CB381A" w:rsidRPr="005830CE">
        <w:rPr>
          <w:sz w:val="28"/>
          <w:szCs w:val="28"/>
        </w:rPr>
        <w:t>draft regulations, which provided for the lower rate mobility component, made no reference to the guidance or supervision needs of a child having to relate to an impairment. SCoSS recommended that t</w:t>
      </w:r>
      <w:r w:rsidR="00CB381A" w:rsidRPr="005830CE">
        <w:rPr>
          <w:bCs/>
          <w:sz w:val="28"/>
          <w:szCs w:val="28"/>
        </w:rPr>
        <w:t xml:space="preserve">he </w:t>
      </w:r>
      <w:r w:rsidR="00CB381A" w:rsidRPr="005830CE">
        <w:rPr>
          <w:bCs/>
          <w:sz w:val="28"/>
          <w:szCs w:val="28"/>
        </w:rPr>
        <w:lastRenderedPageBreak/>
        <w:t>regulation for lower rate mobility component should relate the need for guidance or supervision to a physical or mental impairment.</w:t>
      </w:r>
      <w:r w:rsidR="00166C6C" w:rsidRPr="005830CE">
        <w:rPr>
          <w:bCs/>
          <w:sz w:val="28"/>
          <w:szCs w:val="28"/>
        </w:rPr>
        <w:t xml:space="preserve"> </w:t>
      </w:r>
      <w:r w:rsidR="00CB381A" w:rsidRPr="005830CE">
        <w:rPr>
          <w:sz w:val="28"/>
          <w:szCs w:val="28"/>
        </w:rPr>
        <w:t xml:space="preserve">The </w:t>
      </w:r>
      <w:r w:rsidRPr="005830CE">
        <w:rPr>
          <w:sz w:val="28"/>
          <w:szCs w:val="28"/>
        </w:rPr>
        <w:t>revised draft regulations seek</w:t>
      </w:r>
      <w:r w:rsidR="00CB381A" w:rsidRPr="005830CE">
        <w:rPr>
          <w:sz w:val="28"/>
          <w:szCs w:val="28"/>
        </w:rPr>
        <w:t xml:space="preserve"> to make the link with a physical or mental health condition more explicit.</w:t>
      </w:r>
      <w:r w:rsidR="004C258F" w:rsidRPr="005830CE">
        <w:rPr>
          <w:sz w:val="28"/>
          <w:szCs w:val="28"/>
        </w:rPr>
        <w:t xml:space="preserve"> </w:t>
      </w:r>
      <w:r w:rsidR="00166C6C" w:rsidRPr="005830CE">
        <w:rPr>
          <w:sz w:val="28"/>
          <w:szCs w:val="28"/>
        </w:rPr>
        <w:t>H</w:t>
      </w:r>
      <w:r w:rsidR="00BE630D" w:rsidRPr="005830CE">
        <w:rPr>
          <w:sz w:val="28"/>
          <w:szCs w:val="28"/>
        </w:rPr>
        <w:t xml:space="preserve">owever, </w:t>
      </w:r>
      <w:r w:rsidR="00791836" w:rsidRPr="005830CE">
        <w:rPr>
          <w:sz w:val="28"/>
          <w:szCs w:val="28"/>
        </w:rPr>
        <w:t xml:space="preserve">we note that </w:t>
      </w:r>
      <w:r w:rsidR="00BE630D" w:rsidRPr="005830CE">
        <w:rPr>
          <w:sz w:val="28"/>
          <w:szCs w:val="28"/>
        </w:rPr>
        <w:t xml:space="preserve">regulation 6 </w:t>
      </w:r>
      <w:r w:rsidR="00791836" w:rsidRPr="005830CE">
        <w:rPr>
          <w:sz w:val="28"/>
          <w:szCs w:val="28"/>
        </w:rPr>
        <w:t xml:space="preserve">still </w:t>
      </w:r>
      <w:r w:rsidR="00BE630D" w:rsidRPr="005830CE">
        <w:rPr>
          <w:sz w:val="28"/>
          <w:szCs w:val="28"/>
        </w:rPr>
        <w:t>does</w:t>
      </w:r>
      <w:r w:rsidR="00166C6C" w:rsidRPr="005830CE">
        <w:rPr>
          <w:sz w:val="28"/>
          <w:szCs w:val="28"/>
        </w:rPr>
        <w:t xml:space="preserve"> not contain an explicit requirement </w:t>
      </w:r>
      <w:r w:rsidR="00BE630D" w:rsidRPr="005830CE">
        <w:rPr>
          <w:sz w:val="28"/>
          <w:szCs w:val="28"/>
        </w:rPr>
        <w:t xml:space="preserve">for a child </w:t>
      </w:r>
      <w:r w:rsidR="00166C6C" w:rsidRPr="005830CE">
        <w:rPr>
          <w:sz w:val="28"/>
          <w:szCs w:val="28"/>
        </w:rPr>
        <w:t>to have a</w:t>
      </w:r>
      <w:r w:rsidR="00693101" w:rsidRPr="005830CE">
        <w:rPr>
          <w:sz w:val="28"/>
          <w:szCs w:val="28"/>
        </w:rPr>
        <w:t xml:space="preserve"> physical or mental impairment.</w:t>
      </w:r>
    </w:p>
    <w:p w:rsidR="009C604B" w:rsidRPr="005830CE" w:rsidRDefault="009C604B" w:rsidP="00CB381A">
      <w:pPr>
        <w:pStyle w:val="Default"/>
        <w:rPr>
          <w:sz w:val="28"/>
          <w:szCs w:val="28"/>
        </w:rPr>
      </w:pPr>
    </w:p>
    <w:p w:rsidR="009C604B" w:rsidRDefault="00F22345" w:rsidP="00CB381A">
      <w:pPr>
        <w:pStyle w:val="Default"/>
        <w:rPr>
          <w:b/>
          <w:sz w:val="28"/>
          <w:szCs w:val="28"/>
        </w:rPr>
      </w:pPr>
      <w:r w:rsidRPr="005830CE">
        <w:rPr>
          <w:b/>
          <w:sz w:val="28"/>
          <w:szCs w:val="28"/>
        </w:rPr>
        <w:t>Observation</w:t>
      </w:r>
      <w:r w:rsidR="002A7FFA">
        <w:rPr>
          <w:b/>
          <w:sz w:val="28"/>
          <w:szCs w:val="28"/>
        </w:rPr>
        <w:t xml:space="preserve"> 3</w:t>
      </w:r>
      <w:r w:rsidR="009C604B" w:rsidRPr="005830CE">
        <w:rPr>
          <w:b/>
          <w:sz w:val="28"/>
          <w:szCs w:val="28"/>
        </w:rPr>
        <w:t xml:space="preserve">: </w:t>
      </w:r>
      <w:r w:rsidR="00901EA0" w:rsidRPr="005830CE">
        <w:rPr>
          <w:b/>
          <w:sz w:val="28"/>
          <w:szCs w:val="28"/>
        </w:rPr>
        <w:t xml:space="preserve">We note that further adjustments to drafting of the </w:t>
      </w:r>
      <w:r w:rsidR="00693101" w:rsidRPr="005830CE">
        <w:rPr>
          <w:b/>
          <w:sz w:val="28"/>
          <w:szCs w:val="28"/>
        </w:rPr>
        <w:t xml:space="preserve">regulation for lower rate mobility component </w:t>
      </w:r>
      <w:r w:rsidR="00E97CEB" w:rsidRPr="005830CE">
        <w:rPr>
          <w:b/>
          <w:sz w:val="28"/>
          <w:szCs w:val="28"/>
        </w:rPr>
        <w:t xml:space="preserve">may be needed </w:t>
      </w:r>
      <w:r w:rsidR="00901EA0" w:rsidRPr="005830CE">
        <w:rPr>
          <w:b/>
          <w:sz w:val="28"/>
          <w:szCs w:val="28"/>
        </w:rPr>
        <w:t xml:space="preserve">to explicitly </w:t>
      </w:r>
      <w:r w:rsidR="00693101" w:rsidRPr="005830CE">
        <w:rPr>
          <w:b/>
          <w:sz w:val="28"/>
          <w:szCs w:val="28"/>
        </w:rPr>
        <w:t>relate the need for guidance or supervision to a physical or mental impairment.</w:t>
      </w:r>
      <w:r w:rsidR="00E90B69">
        <w:rPr>
          <w:b/>
          <w:sz w:val="28"/>
          <w:szCs w:val="28"/>
        </w:rPr>
        <w:t xml:space="preserve"> </w:t>
      </w:r>
      <w:r w:rsidR="00E90B69" w:rsidRPr="00E90B69">
        <w:rPr>
          <w:b/>
          <w:sz w:val="28"/>
          <w:szCs w:val="28"/>
        </w:rPr>
        <w:t>Should the Scottish Government consider the draft regulations to be sufficient as they are, it should explain how they are consistent with the Social Security (Scotland) Act.</w:t>
      </w:r>
    </w:p>
    <w:p w:rsidR="00FC3945" w:rsidRDefault="00FC3945" w:rsidP="00CB381A">
      <w:pPr>
        <w:pStyle w:val="Default"/>
        <w:rPr>
          <w:b/>
          <w:sz w:val="28"/>
          <w:szCs w:val="28"/>
        </w:rPr>
      </w:pPr>
    </w:p>
    <w:p w:rsidR="00BC6384" w:rsidRPr="005830CE" w:rsidRDefault="00BC6384" w:rsidP="00BC6384">
      <w:pPr>
        <w:pStyle w:val="ListParagraph"/>
        <w:tabs>
          <w:tab w:val="left" w:pos="4680"/>
          <w:tab w:val="left" w:pos="5400"/>
          <w:tab w:val="right" w:pos="9000"/>
        </w:tabs>
        <w:ind w:left="0"/>
        <w:rPr>
          <w:szCs w:val="22"/>
        </w:rPr>
      </w:pPr>
    </w:p>
    <w:p w:rsidR="0070664E" w:rsidRPr="005830CE" w:rsidRDefault="0070664E" w:rsidP="00A07717">
      <w:pPr>
        <w:pStyle w:val="Heading1"/>
        <w:rPr>
          <w:rFonts w:cs="Arial"/>
          <w:b/>
          <w:sz w:val="32"/>
          <w:szCs w:val="32"/>
        </w:rPr>
      </w:pPr>
      <w:bookmarkStart w:id="15" w:name="_Toc59010241"/>
      <w:r w:rsidRPr="005830CE">
        <w:rPr>
          <w:rFonts w:cs="Arial"/>
          <w:b/>
          <w:sz w:val="32"/>
          <w:szCs w:val="32"/>
        </w:rPr>
        <w:t>Temporary absences from home and non-payability of assistance</w:t>
      </w:r>
      <w:bookmarkEnd w:id="15"/>
    </w:p>
    <w:p w:rsidR="00AB1E1D" w:rsidRPr="005830CE" w:rsidRDefault="00A8152F" w:rsidP="008619CB">
      <w:pPr>
        <w:rPr>
          <w:bCs/>
        </w:rPr>
      </w:pPr>
      <w:r w:rsidRPr="005830CE">
        <w:rPr>
          <w:bCs/>
        </w:rPr>
        <w:t>Our original</w:t>
      </w:r>
      <w:r w:rsidR="008619CB" w:rsidRPr="005830CE">
        <w:rPr>
          <w:bCs/>
        </w:rPr>
        <w:t xml:space="preserve"> report</w:t>
      </w:r>
      <w:r w:rsidRPr="005830CE">
        <w:rPr>
          <w:bCs/>
        </w:rPr>
        <w:t xml:space="preserve"> </w:t>
      </w:r>
      <w:r w:rsidR="008619CB" w:rsidRPr="005830CE">
        <w:rPr>
          <w:bCs/>
        </w:rPr>
        <w:t xml:space="preserve">noted that children staying in a care home or residential school lost entitlement to CDP altogether. This had real disadvantages including loss of passported benefits. </w:t>
      </w:r>
      <w:r w:rsidR="00AB1E1D" w:rsidRPr="005830CE">
        <w:rPr>
          <w:bCs/>
        </w:rPr>
        <w:t xml:space="preserve">The proposal for CDP was different to DLA, where payment would stop but entitlement would continue. It was necessarily different because there was no power in the Social Security (Scotland) Act 2018 to stop payment. </w:t>
      </w:r>
      <w:r w:rsidR="008619CB" w:rsidRPr="005830CE">
        <w:rPr>
          <w:bCs/>
        </w:rPr>
        <w:t>We recommended that the Scottish Government consider amending the Act to enable entitlement to remain while payment is suspended.</w:t>
      </w:r>
    </w:p>
    <w:p w:rsidR="008619CB" w:rsidRPr="005830CE" w:rsidRDefault="008619CB" w:rsidP="008619CB">
      <w:pPr>
        <w:rPr>
          <w:bCs/>
        </w:rPr>
      </w:pPr>
      <w:r w:rsidRPr="005830CE">
        <w:rPr>
          <w:bCs/>
        </w:rPr>
        <w:t xml:space="preserve"> </w:t>
      </w:r>
    </w:p>
    <w:p w:rsidR="008619CB" w:rsidRPr="005830CE" w:rsidRDefault="008619CB" w:rsidP="008619CB">
      <w:pPr>
        <w:rPr>
          <w:szCs w:val="22"/>
        </w:rPr>
      </w:pPr>
      <w:r w:rsidRPr="005830CE">
        <w:rPr>
          <w:szCs w:val="22"/>
        </w:rPr>
        <w:t xml:space="preserve">The Social Security Administration and Tribunal </w:t>
      </w:r>
      <w:r w:rsidR="00B56924" w:rsidRPr="005830CE">
        <w:rPr>
          <w:szCs w:val="22"/>
        </w:rPr>
        <w:t xml:space="preserve">Membership (Scotland) Act 2020 </w:t>
      </w:r>
      <w:r w:rsidR="00530DAE" w:rsidRPr="005830CE">
        <w:rPr>
          <w:szCs w:val="22"/>
        </w:rPr>
        <w:t xml:space="preserve">will </w:t>
      </w:r>
      <w:r w:rsidRPr="005830CE">
        <w:rPr>
          <w:szCs w:val="22"/>
        </w:rPr>
        <w:t>allow Scottish Ministers to pay a nil amount in respect of some or all of an award when an individual is resident in a specified place</w:t>
      </w:r>
      <w:r w:rsidR="00AB1E1D" w:rsidRPr="005830CE">
        <w:rPr>
          <w:szCs w:val="22"/>
        </w:rPr>
        <w:t>. T</w:t>
      </w:r>
      <w:r w:rsidRPr="005830CE">
        <w:rPr>
          <w:szCs w:val="22"/>
        </w:rPr>
        <w:t xml:space="preserve">he revised regulations </w:t>
      </w:r>
      <w:r w:rsidR="00AB1E1D" w:rsidRPr="005830CE">
        <w:rPr>
          <w:szCs w:val="22"/>
        </w:rPr>
        <w:t>reflect the policy intention to pay a nil amount instead of removing entitlement when a child is staying in a care home</w:t>
      </w:r>
      <w:r w:rsidR="00A8152F" w:rsidRPr="005830CE">
        <w:rPr>
          <w:szCs w:val="22"/>
        </w:rPr>
        <w:t xml:space="preserve"> or</w:t>
      </w:r>
      <w:r w:rsidR="00AB1E1D" w:rsidRPr="005830CE">
        <w:rPr>
          <w:szCs w:val="22"/>
        </w:rPr>
        <w:t xml:space="preserve"> residential school</w:t>
      </w:r>
      <w:r w:rsidR="00A8152F" w:rsidRPr="005830CE">
        <w:rPr>
          <w:szCs w:val="22"/>
        </w:rPr>
        <w:t>,</w:t>
      </w:r>
      <w:r w:rsidR="00AB1E1D" w:rsidRPr="005830CE">
        <w:rPr>
          <w:szCs w:val="22"/>
        </w:rPr>
        <w:t xml:space="preserve"> or is in legal detention</w:t>
      </w:r>
      <w:r w:rsidRPr="005830CE">
        <w:rPr>
          <w:szCs w:val="22"/>
        </w:rPr>
        <w:t>.</w:t>
      </w:r>
    </w:p>
    <w:p w:rsidR="0070664E" w:rsidRPr="005830CE" w:rsidRDefault="0070664E" w:rsidP="00BE7DF5">
      <w:pPr>
        <w:pStyle w:val="ListParagraph"/>
        <w:tabs>
          <w:tab w:val="left" w:pos="4680"/>
          <w:tab w:val="left" w:pos="5400"/>
          <w:tab w:val="right" w:pos="9000"/>
        </w:tabs>
        <w:ind w:left="0"/>
        <w:rPr>
          <w:szCs w:val="22"/>
        </w:rPr>
      </w:pPr>
    </w:p>
    <w:p w:rsidR="009909C6" w:rsidRPr="005830CE" w:rsidRDefault="00B56924" w:rsidP="00B56924">
      <w:pPr>
        <w:tabs>
          <w:tab w:val="left" w:pos="4680"/>
          <w:tab w:val="left" w:pos="5400"/>
          <w:tab w:val="right" w:pos="9000"/>
        </w:tabs>
        <w:rPr>
          <w:szCs w:val="22"/>
        </w:rPr>
      </w:pPr>
      <w:r w:rsidRPr="005830CE">
        <w:rPr>
          <w:szCs w:val="22"/>
        </w:rPr>
        <w:t>S</w:t>
      </w:r>
      <w:r w:rsidR="00EF5770" w:rsidRPr="005830CE">
        <w:rPr>
          <w:szCs w:val="22"/>
        </w:rPr>
        <w:t xml:space="preserve">takeholders </w:t>
      </w:r>
      <w:r w:rsidRPr="005830CE">
        <w:rPr>
          <w:szCs w:val="22"/>
        </w:rPr>
        <w:t>have warml</w:t>
      </w:r>
      <w:r w:rsidR="009909C6" w:rsidRPr="005830CE">
        <w:rPr>
          <w:szCs w:val="22"/>
        </w:rPr>
        <w:t>y welcomed this change</w:t>
      </w:r>
      <w:r w:rsidR="00912BFF">
        <w:rPr>
          <w:szCs w:val="22"/>
        </w:rPr>
        <w:t>, which also means that</w:t>
      </w:r>
      <w:r w:rsidR="00A67AFB">
        <w:rPr>
          <w:szCs w:val="22"/>
        </w:rPr>
        <w:t xml:space="preserve"> c</w:t>
      </w:r>
      <w:r w:rsidR="009909C6" w:rsidRPr="005830CE">
        <w:rPr>
          <w:szCs w:val="22"/>
        </w:rPr>
        <w:t xml:space="preserve">hildren </w:t>
      </w:r>
      <w:r w:rsidR="00A67AFB">
        <w:rPr>
          <w:szCs w:val="22"/>
        </w:rPr>
        <w:t xml:space="preserve">and their families </w:t>
      </w:r>
      <w:r w:rsidR="009909C6" w:rsidRPr="005830CE">
        <w:rPr>
          <w:szCs w:val="22"/>
        </w:rPr>
        <w:t xml:space="preserve">will now retain entitlement to passported benefits. </w:t>
      </w:r>
    </w:p>
    <w:p w:rsidR="009909C6" w:rsidRPr="005830CE" w:rsidRDefault="009909C6" w:rsidP="00B56924">
      <w:pPr>
        <w:tabs>
          <w:tab w:val="left" w:pos="4680"/>
          <w:tab w:val="left" w:pos="5400"/>
          <w:tab w:val="right" w:pos="9000"/>
        </w:tabs>
        <w:rPr>
          <w:szCs w:val="22"/>
        </w:rPr>
      </w:pPr>
    </w:p>
    <w:p w:rsidR="00EF5770" w:rsidRPr="005830CE" w:rsidRDefault="009909C6" w:rsidP="00B56924">
      <w:pPr>
        <w:tabs>
          <w:tab w:val="left" w:pos="4680"/>
          <w:tab w:val="left" w:pos="5400"/>
          <w:tab w:val="right" w:pos="9000"/>
        </w:tabs>
        <w:rPr>
          <w:szCs w:val="22"/>
        </w:rPr>
      </w:pPr>
      <w:r w:rsidRPr="005830CE">
        <w:rPr>
          <w:szCs w:val="22"/>
        </w:rPr>
        <w:t>There are aspects of the regulations which could be further improved</w:t>
      </w:r>
      <w:r w:rsidR="00FC3945">
        <w:rPr>
          <w:szCs w:val="22"/>
        </w:rPr>
        <w:t>:</w:t>
      </w:r>
    </w:p>
    <w:p w:rsidR="00EF5770" w:rsidRPr="005830CE" w:rsidRDefault="00EF5770" w:rsidP="00BE7DF5">
      <w:pPr>
        <w:pStyle w:val="ListParagraph"/>
        <w:tabs>
          <w:tab w:val="left" w:pos="4680"/>
          <w:tab w:val="left" w:pos="5400"/>
          <w:tab w:val="right" w:pos="9000"/>
        </w:tabs>
        <w:ind w:left="0"/>
        <w:rPr>
          <w:szCs w:val="22"/>
        </w:rPr>
      </w:pPr>
    </w:p>
    <w:p w:rsidR="00B65428" w:rsidRPr="005830CE" w:rsidRDefault="00B65428" w:rsidP="009909C6">
      <w:pPr>
        <w:pStyle w:val="ListParagraph"/>
        <w:numPr>
          <w:ilvl w:val="0"/>
          <w:numId w:val="37"/>
        </w:numPr>
        <w:tabs>
          <w:tab w:val="left" w:pos="4680"/>
          <w:tab w:val="left" w:pos="5400"/>
          <w:tab w:val="right" w:pos="9000"/>
        </w:tabs>
        <w:rPr>
          <w:szCs w:val="22"/>
        </w:rPr>
      </w:pPr>
      <w:r w:rsidRPr="005830CE">
        <w:rPr>
          <w:szCs w:val="22"/>
        </w:rPr>
        <w:t>If a CDP application is made while a child is stayin</w:t>
      </w:r>
      <w:r w:rsidR="007135C7" w:rsidRPr="005830CE">
        <w:rPr>
          <w:szCs w:val="22"/>
        </w:rPr>
        <w:t>g in a care home</w:t>
      </w:r>
      <w:r w:rsidR="00DA7857">
        <w:rPr>
          <w:szCs w:val="22"/>
        </w:rPr>
        <w:t xml:space="preserve"> or residential school</w:t>
      </w:r>
      <w:r w:rsidR="007135C7" w:rsidRPr="005830CE">
        <w:rPr>
          <w:szCs w:val="22"/>
        </w:rPr>
        <w:t>, regulation 14</w:t>
      </w:r>
      <w:r w:rsidRPr="005830CE">
        <w:rPr>
          <w:szCs w:val="22"/>
        </w:rPr>
        <w:t xml:space="preserve"> provides </w:t>
      </w:r>
      <w:r w:rsidRPr="00680E54">
        <w:rPr>
          <w:szCs w:val="22"/>
        </w:rPr>
        <w:t xml:space="preserve">for </w:t>
      </w:r>
      <w:r w:rsidR="009C7993" w:rsidRPr="00680E54">
        <w:rPr>
          <w:szCs w:val="22"/>
        </w:rPr>
        <w:t xml:space="preserve">care component </w:t>
      </w:r>
      <w:r w:rsidRPr="00680E54">
        <w:rPr>
          <w:szCs w:val="22"/>
        </w:rPr>
        <w:t xml:space="preserve">entitlement to begin when they leave. </w:t>
      </w:r>
      <w:r w:rsidR="009909C6" w:rsidRPr="00680E54">
        <w:rPr>
          <w:szCs w:val="22"/>
        </w:rPr>
        <w:t xml:space="preserve">As stakeholders </w:t>
      </w:r>
      <w:r w:rsidR="009909C6" w:rsidRPr="00680E54">
        <w:rPr>
          <w:szCs w:val="22"/>
        </w:rPr>
        <w:lastRenderedPageBreak/>
        <w:t>have pointed out to the Commission, this</w:t>
      </w:r>
      <w:r w:rsidR="00E71B40" w:rsidRPr="00680E54">
        <w:rPr>
          <w:szCs w:val="22"/>
        </w:rPr>
        <w:t xml:space="preserve"> has implications for passported entitlements.</w:t>
      </w:r>
      <w:r w:rsidR="00492CF8" w:rsidRPr="00680E54">
        <w:rPr>
          <w:rStyle w:val="FootnoteReference"/>
          <w:szCs w:val="22"/>
        </w:rPr>
        <w:footnoteReference w:id="16"/>
      </w:r>
      <w:r w:rsidR="00E71B40" w:rsidRPr="00680E54">
        <w:rPr>
          <w:szCs w:val="22"/>
        </w:rPr>
        <w:t xml:space="preserve"> It</w:t>
      </w:r>
      <w:r w:rsidRPr="00680E54">
        <w:rPr>
          <w:szCs w:val="22"/>
        </w:rPr>
        <w:t xml:space="preserve"> means</w:t>
      </w:r>
      <w:r w:rsidR="00912BFF" w:rsidRPr="00680E54">
        <w:rPr>
          <w:szCs w:val="22"/>
        </w:rPr>
        <w:t>,</w:t>
      </w:r>
      <w:r w:rsidRPr="00680E54">
        <w:rPr>
          <w:szCs w:val="22"/>
        </w:rPr>
        <w:t xml:space="preserve"> </w:t>
      </w:r>
      <w:r w:rsidR="00E71B40" w:rsidRPr="00680E54">
        <w:rPr>
          <w:szCs w:val="22"/>
        </w:rPr>
        <w:t>for example</w:t>
      </w:r>
      <w:r w:rsidR="00912BFF" w:rsidRPr="00680E54">
        <w:rPr>
          <w:szCs w:val="22"/>
        </w:rPr>
        <w:t>,</w:t>
      </w:r>
      <w:r w:rsidR="00E71B40" w:rsidRPr="00680E54">
        <w:rPr>
          <w:szCs w:val="22"/>
        </w:rPr>
        <w:t xml:space="preserve"> </w:t>
      </w:r>
      <w:r w:rsidRPr="00680E54">
        <w:rPr>
          <w:szCs w:val="22"/>
        </w:rPr>
        <w:t>that parents cannot access a disabled child element in universal</w:t>
      </w:r>
      <w:r w:rsidRPr="005830CE">
        <w:rPr>
          <w:szCs w:val="22"/>
        </w:rPr>
        <w:t xml:space="preserve"> credit </w:t>
      </w:r>
      <w:r w:rsidR="00D8188B" w:rsidRPr="005830CE">
        <w:rPr>
          <w:szCs w:val="22"/>
        </w:rPr>
        <w:t xml:space="preserve">based on the care component </w:t>
      </w:r>
      <w:r w:rsidRPr="005830CE">
        <w:rPr>
          <w:szCs w:val="22"/>
        </w:rPr>
        <w:t>until the child leaves the care home</w:t>
      </w:r>
      <w:r w:rsidR="00DA7857">
        <w:rPr>
          <w:szCs w:val="22"/>
        </w:rPr>
        <w:t xml:space="preserve"> or school</w:t>
      </w:r>
      <w:r w:rsidRPr="005830CE">
        <w:rPr>
          <w:szCs w:val="22"/>
        </w:rPr>
        <w:t xml:space="preserve"> and cannot claim exemption from the benefit cap. For DLA, parents would have access to these passporting benefits because only payment </w:t>
      </w:r>
      <w:r w:rsidR="00D8188B" w:rsidRPr="005830CE">
        <w:rPr>
          <w:szCs w:val="22"/>
        </w:rPr>
        <w:t xml:space="preserve">of the care component </w:t>
      </w:r>
      <w:r w:rsidRPr="005830CE">
        <w:rPr>
          <w:szCs w:val="22"/>
        </w:rPr>
        <w:t>would be deferred until the child left the care home</w:t>
      </w:r>
      <w:r w:rsidR="00DA7857">
        <w:rPr>
          <w:szCs w:val="22"/>
        </w:rPr>
        <w:t xml:space="preserve"> or school</w:t>
      </w:r>
      <w:r w:rsidRPr="005830CE">
        <w:rPr>
          <w:szCs w:val="22"/>
        </w:rPr>
        <w:t xml:space="preserve">, allowing entitlement to be established. </w:t>
      </w:r>
    </w:p>
    <w:p w:rsidR="00D45870" w:rsidRPr="005830CE" w:rsidRDefault="00D45870" w:rsidP="00D45870">
      <w:pPr>
        <w:tabs>
          <w:tab w:val="left" w:pos="4680"/>
          <w:tab w:val="left" w:pos="5400"/>
          <w:tab w:val="right" w:pos="9000"/>
        </w:tabs>
        <w:rPr>
          <w:szCs w:val="22"/>
        </w:rPr>
      </w:pPr>
    </w:p>
    <w:p w:rsidR="00545297" w:rsidRPr="005830CE" w:rsidRDefault="00D45870" w:rsidP="004C258F">
      <w:pPr>
        <w:pStyle w:val="Default"/>
        <w:rPr>
          <w:b/>
          <w:sz w:val="28"/>
          <w:szCs w:val="28"/>
        </w:rPr>
      </w:pPr>
      <w:r w:rsidRPr="005830CE">
        <w:rPr>
          <w:b/>
          <w:sz w:val="28"/>
          <w:szCs w:val="28"/>
        </w:rPr>
        <w:t>Recommendation</w:t>
      </w:r>
      <w:r w:rsidR="002A7FFA">
        <w:rPr>
          <w:b/>
          <w:sz w:val="28"/>
          <w:szCs w:val="28"/>
        </w:rPr>
        <w:t xml:space="preserve"> 7</w:t>
      </w:r>
      <w:r w:rsidRPr="005830CE">
        <w:rPr>
          <w:b/>
          <w:sz w:val="28"/>
          <w:szCs w:val="28"/>
        </w:rPr>
        <w:t xml:space="preserve">: </w:t>
      </w:r>
      <w:r w:rsidR="006E00AB" w:rsidRPr="005830CE">
        <w:rPr>
          <w:b/>
          <w:sz w:val="28"/>
          <w:szCs w:val="28"/>
        </w:rPr>
        <w:t>The Scottish Government should amend r</w:t>
      </w:r>
      <w:r w:rsidRPr="005830CE">
        <w:rPr>
          <w:b/>
          <w:sz w:val="28"/>
          <w:szCs w:val="28"/>
        </w:rPr>
        <w:t xml:space="preserve">egulation 14 to allow a nil amount to be paid when entitlement begins while </w:t>
      </w:r>
      <w:r w:rsidR="00530DAE" w:rsidRPr="005830CE">
        <w:rPr>
          <w:b/>
          <w:sz w:val="28"/>
          <w:szCs w:val="28"/>
        </w:rPr>
        <w:t xml:space="preserve">a child is </w:t>
      </w:r>
      <w:r w:rsidRPr="005830CE">
        <w:rPr>
          <w:b/>
          <w:sz w:val="28"/>
          <w:szCs w:val="28"/>
        </w:rPr>
        <w:t>resident in a care home or residential educational establishment.</w:t>
      </w:r>
    </w:p>
    <w:p w:rsidR="006529A2" w:rsidRPr="005830CE" w:rsidRDefault="006529A2" w:rsidP="00BE7DF5">
      <w:pPr>
        <w:pStyle w:val="ListParagraph"/>
        <w:tabs>
          <w:tab w:val="left" w:pos="4680"/>
          <w:tab w:val="left" w:pos="5400"/>
          <w:tab w:val="right" w:pos="9000"/>
        </w:tabs>
        <w:ind w:left="0"/>
        <w:rPr>
          <w:szCs w:val="22"/>
        </w:rPr>
      </w:pPr>
    </w:p>
    <w:p w:rsidR="00E6197B" w:rsidRPr="005830CE" w:rsidRDefault="00934825" w:rsidP="00D45870">
      <w:pPr>
        <w:pStyle w:val="ListParagraph"/>
        <w:numPr>
          <w:ilvl w:val="0"/>
          <w:numId w:val="37"/>
        </w:numPr>
        <w:rPr>
          <w:szCs w:val="22"/>
        </w:rPr>
      </w:pPr>
      <w:r w:rsidRPr="005830CE">
        <w:rPr>
          <w:szCs w:val="22"/>
        </w:rPr>
        <w:t xml:space="preserve">The Scottish Government aims to support children and young people in legal detention to transition back into a community setting by continuing to pay CDP mobility component </w:t>
      </w:r>
      <w:r w:rsidR="00CC5F5A" w:rsidRPr="005830CE">
        <w:rPr>
          <w:szCs w:val="22"/>
        </w:rPr>
        <w:t>to help the family keep in contact with the child</w:t>
      </w:r>
      <w:r w:rsidRPr="005830CE">
        <w:rPr>
          <w:szCs w:val="22"/>
        </w:rPr>
        <w:t>.</w:t>
      </w:r>
      <w:r w:rsidR="00D25AC9" w:rsidRPr="005830CE">
        <w:rPr>
          <w:rStyle w:val="FootnoteReference"/>
          <w:szCs w:val="22"/>
        </w:rPr>
        <w:footnoteReference w:id="17"/>
      </w:r>
      <w:r w:rsidR="00C5007A" w:rsidRPr="005830CE">
        <w:rPr>
          <w:szCs w:val="22"/>
        </w:rPr>
        <w:t xml:space="preserve"> </w:t>
      </w:r>
      <w:r w:rsidRPr="005830CE">
        <w:rPr>
          <w:szCs w:val="22"/>
        </w:rPr>
        <w:t xml:space="preserve">However, CDP care component payment stops while in custody. </w:t>
      </w:r>
      <w:r w:rsidR="005E36EF" w:rsidRPr="005830CE">
        <w:rPr>
          <w:szCs w:val="22"/>
        </w:rPr>
        <w:t>No</w:t>
      </w:r>
      <w:r w:rsidR="00EF5770" w:rsidRPr="005830CE">
        <w:rPr>
          <w:szCs w:val="22"/>
        </w:rPr>
        <w:t xml:space="preserve"> </w:t>
      </w:r>
      <w:r w:rsidR="006529A2" w:rsidRPr="005830CE">
        <w:rPr>
          <w:szCs w:val="22"/>
        </w:rPr>
        <w:t>CDP arrears are paid</w:t>
      </w:r>
      <w:r w:rsidR="00EF5770" w:rsidRPr="005830CE">
        <w:rPr>
          <w:szCs w:val="22"/>
        </w:rPr>
        <w:t xml:space="preserve"> if </w:t>
      </w:r>
      <w:r w:rsidR="005E36EF" w:rsidRPr="005830CE">
        <w:rPr>
          <w:szCs w:val="22"/>
        </w:rPr>
        <w:t xml:space="preserve">a child or young person is </w:t>
      </w:r>
      <w:r w:rsidR="00EF5770" w:rsidRPr="005830CE">
        <w:rPr>
          <w:szCs w:val="22"/>
        </w:rPr>
        <w:t xml:space="preserve">released from </w:t>
      </w:r>
      <w:r w:rsidRPr="005830CE">
        <w:rPr>
          <w:szCs w:val="22"/>
        </w:rPr>
        <w:t>legal detention</w:t>
      </w:r>
      <w:r w:rsidR="00EF5770" w:rsidRPr="005830CE">
        <w:rPr>
          <w:szCs w:val="22"/>
        </w:rPr>
        <w:t xml:space="preserve"> without charge</w:t>
      </w:r>
      <w:r w:rsidR="006529A2" w:rsidRPr="005830CE">
        <w:t xml:space="preserve"> </w:t>
      </w:r>
      <w:r w:rsidR="006529A2" w:rsidRPr="005830CE">
        <w:rPr>
          <w:szCs w:val="22"/>
        </w:rPr>
        <w:t>or sentenced to a non-custodial prison sentence, in contrast to the DLA rules</w:t>
      </w:r>
      <w:r w:rsidR="005E36EF" w:rsidRPr="005830CE">
        <w:rPr>
          <w:szCs w:val="22"/>
        </w:rPr>
        <w:t>.</w:t>
      </w:r>
      <w:r w:rsidR="005E36EF" w:rsidRPr="005830CE">
        <w:rPr>
          <w:rStyle w:val="FootnoteReference"/>
          <w:szCs w:val="22"/>
        </w:rPr>
        <w:footnoteReference w:id="18"/>
      </w:r>
      <w:r w:rsidR="00441642">
        <w:rPr>
          <w:szCs w:val="22"/>
        </w:rPr>
        <w:t xml:space="preserve"> Given the policy intention </w:t>
      </w:r>
      <w:r w:rsidR="00EC3623">
        <w:rPr>
          <w:szCs w:val="22"/>
        </w:rPr>
        <w:t xml:space="preserve">is to make </w:t>
      </w:r>
      <w:r w:rsidR="00000FE6">
        <w:rPr>
          <w:szCs w:val="22"/>
        </w:rPr>
        <w:t>rules on payments in alternative accommodation</w:t>
      </w:r>
      <w:r w:rsidR="00EC3623">
        <w:rPr>
          <w:szCs w:val="22"/>
        </w:rPr>
        <w:t xml:space="preserve"> more consistent by </w:t>
      </w:r>
      <w:r w:rsidR="00441642">
        <w:rPr>
          <w:szCs w:val="22"/>
        </w:rPr>
        <w:t>align</w:t>
      </w:r>
      <w:r w:rsidR="00EC3623">
        <w:rPr>
          <w:szCs w:val="22"/>
        </w:rPr>
        <w:t>ing</w:t>
      </w:r>
      <w:r w:rsidR="00441642">
        <w:rPr>
          <w:szCs w:val="22"/>
        </w:rPr>
        <w:t xml:space="preserve"> </w:t>
      </w:r>
      <w:r w:rsidR="00000FE6">
        <w:rPr>
          <w:szCs w:val="22"/>
        </w:rPr>
        <w:t xml:space="preserve">rules </w:t>
      </w:r>
      <w:r w:rsidR="00441642">
        <w:rPr>
          <w:szCs w:val="22"/>
        </w:rPr>
        <w:t>in legal detention with care homes and residential schools, this divergenc</w:t>
      </w:r>
      <w:r w:rsidR="00EC3623">
        <w:rPr>
          <w:szCs w:val="22"/>
        </w:rPr>
        <w:t>e</w:t>
      </w:r>
      <w:r w:rsidR="00441642">
        <w:rPr>
          <w:szCs w:val="22"/>
        </w:rPr>
        <w:t xml:space="preserve"> from DLA rules may be intended.</w:t>
      </w:r>
      <w:r w:rsidR="00441642">
        <w:rPr>
          <w:rStyle w:val="FootnoteReference"/>
          <w:szCs w:val="22"/>
        </w:rPr>
        <w:footnoteReference w:id="19"/>
      </w:r>
      <w:r w:rsidR="006855D0" w:rsidRPr="005830CE">
        <w:rPr>
          <w:lang w:val="en-US"/>
        </w:rPr>
        <w:t xml:space="preserve"> </w:t>
      </w:r>
    </w:p>
    <w:p w:rsidR="00E6197B" w:rsidRPr="005830CE" w:rsidRDefault="00E6197B" w:rsidP="00D45870">
      <w:pPr>
        <w:pStyle w:val="ListParagraph"/>
        <w:rPr>
          <w:szCs w:val="22"/>
        </w:rPr>
      </w:pPr>
    </w:p>
    <w:p w:rsidR="002A7FFA" w:rsidRPr="002A7FFA" w:rsidRDefault="009E69BB" w:rsidP="004C258F">
      <w:pPr>
        <w:pStyle w:val="Default"/>
        <w:rPr>
          <w:b/>
          <w:color w:val="auto"/>
          <w:sz w:val="28"/>
          <w:szCs w:val="28"/>
        </w:rPr>
      </w:pPr>
      <w:r w:rsidRPr="002A7FFA">
        <w:rPr>
          <w:b/>
          <w:color w:val="auto"/>
          <w:sz w:val="28"/>
          <w:szCs w:val="28"/>
        </w:rPr>
        <w:t>Recommendation</w:t>
      </w:r>
      <w:r w:rsidR="002A7FFA" w:rsidRPr="002A7FFA">
        <w:rPr>
          <w:b/>
          <w:color w:val="auto"/>
          <w:sz w:val="28"/>
          <w:szCs w:val="28"/>
        </w:rPr>
        <w:t xml:space="preserve"> 8</w:t>
      </w:r>
      <w:r w:rsidRPr="002A7FFA">
        <w:rPr>
          <w:b/>
          <w:color w:val="auto"/>
          <w:sz w:val="28"/>
          <w:szCs w:val="28"/>
        </w:rPr>
        <w:t xml:space="preserve">: </w:t>
      </w:r>
      <w:r w:rsidR="00736778" w:rsidRPr="002A7FFA">
        <w:rPr>
          <w:b/>
          <w:color w:val="auto"/>
          <w:sz w:val="28"/>
          <w:szCs w:val="28"/>
        </w:rPr>
        <w:t xml:space="preserve">The Scottish Government should </w:t>
      </w:r>
      <w:r w:rsidRPr="002A7FFA">
        <w:rPr>
          <w:b/>
          <w:color w:val="auto"/>
          <w:sz w:val="28"/>
          <w:szCs w:val="28"/>
        </w:rPr>
        <w:t>clarify whether</w:t>
      </w:r>
      <w:r w:rsidR="00C5007A" w:rsidRPr="002A7FFA">
        <w:rPr>
          <w:b/>
          <w:color w:val="auto"/>
          <w:sz w:val="28"/>
          <w:szCs w:val="28"/>
        </w:rPr>
        <w:t xml:space="preserve"> the policy intention is not to pay CDP care component arrears if a child or young person is released from legal detention without charge or sentenced to a non-custodial prison sentence.</w:t>
      </w:r>
    </w:p>
    <w:p w:rsidR="005830CE" w:rsidRPr="002A7FFA" w:rsidRDefault="005830CE" w:rsidP="004C258F">
      <w:pPr>
        <w:pStyle w:val="Default"/>
        <w:rPr>
          <w:b/>
          <w:color w:val="auto"/>
          <w:sz w:val="28"/>
          <w:szCs w:val="28"/>
        </w:rPr>
      </w:pPr>
    </w:p>
    <w:p w:rsidR="004C258F" w:rsidRPr="002A7FFA" w:rsidRDefault="004C258F" w:rsidP="000977F0">
      <w:pPr>
        <w:rPr>
          <w:szCs w:val="22"/>
        </w:rPr>
      </w:pPr>
    </w:p>
    <w:p w:rsidR="004C258F" w:rsidRPr="002A7FFA" w:rsidRDefault="004C258F" w:rsidP="006A1602">
      <w:pPr>
        <w:pStyle w:val="Heading1"/>
        <w:rPr>
          <w:b/>
          <w:szCs w:val="24"/>
        </w:rPr>
      </w:pPr>
      <w:bookmarkStart w:id="16" w:name="_Toc59010242"/>
      <w:r w:rsidRPr="002A7FFA">
        <w:rPr>
          <w:rFonts w:cs="Arial"/>
          <w:b/>
          <w:sz w:val="32"/>
          <w:szCs w:val="32"/>
        </w:rPr>
        <w:t xml:space="preserve">Other issues about </w:t>
      </w:r>
      <w:r w:rsidR="00114603" w:rsidRPr="002A7FFA">
        <w:rPr>
          <w:rFonts w:cs="Arial"/>
          <w:b/>
          <w:sz w:val="32"/>
          <w:szCs w:val="32"/>
        </w:rPr>
        <w:t>applying for CDP and changing awards</w:t>
      </w:r>
      <w:bookmarkEnd w:id="16"/>
    </w:p>
    <w:p w:rsidR="004C258F" w:rsidRPr="005830CE" w:rsidRDefault="004C258F" w:rsidP="004C258F">
      <w:pPr>
        <w:pStyle w:val="Heading2"/>
        <w:rPr>
          <w:rFonts w:cs="Arial"/>
          <w:b/>
          <w:color w:val="FF0000"/>
          <w:szCs w:val="24"/>
        </w:rPr>
      </w:pPr>
      <w:r w:rsidRPr="005830CE">
        <w:rPr>
          <w:rFonts w:cs="Arial"/>
          <w:b/>
          <w:color w:val="000000" w:themeColor="text1"/>
          <w:szCs w:val="24"/>
        </w:rPr>
        <w:t xml:space="preserve"> </w:t>
      </w:r>
      <w:bookmarkStart w:id="17" w:name="_Toc59010243"/>
      <w:r w:rsidRPr="005830CE">
        <w:rPr>
          <w:rFonts w:cs="Arial"/>
          <w:b/>
          <w:color w:val="000000" w:themeColor="text1"/>
          <w:szCs w:val="24"/>
        </w:rPr>
        <w:t>Advance applications</w:t>
      </w:r>
      <w:bookmarkEnd w:id="17"/>
    </w:p>
    <w:p w:rsidR="004C258F" w:rsidRPr="005830CE" w:rsidRDefault="004C258F" w:rsidP="004C258F">
      <w:pPr>
        <w:rPr>
          <w:szCs w:val="24"/>
        </w:rPr>
      </w:pPr>
      <w:r w:rsidRPr="005830CE">
        <w:rPr>
          <w:szCs w:val="24"/>
        </w:rPr>
        <w:lastRenderedPageBreak/>
        <w:t xml:space="preserve">Being able to apply for a benefit in advance is a useful provision when a child is likely to qualify in the next few weeks or months. It gives </w:t>
      </w:r>
      <w:r w:rsidR="001E6990">
        <w:rPr>
          <w:szCs w:val="24"/>
        </w:rPr>
        <w:t xml:space="preserve">Social Security Scotland </w:t>
      </w:r>
      <w:r w:rsidRPr="005830CE">
        <w:rPr>
          <w:szCs w:val="24"/>
        </w:rPr>
        <w:t>time to assess entitlement and make the payment as soon as the qualifying conditions are met. It also allows for flexibility if someone has claimed at the ‘wrong’ time, for example during the 13-week qualifying period for satisfying a disability condition. As drafted, regulation 20(2) permits advance claims during the qualifying period for a care or mobility component, or for a baby before the lower age limit for the care component of 3 months. However, the scope of this provision is not clear, and may be narrow</w:t>
      </w:r>
      <w:r w:rsidR="00912BFF">
        <w:rPr>
          <w:szCs w:val="24"/>
        </w:rPr>
        <w:t>er</w:t>
      </w:r>
      <w:r w:rsidRPr="005830CE">
        <w:rPr>
          <w:szCs w:val="24"/>
        </w:rPr>
        <w:t xml:space="preserve"> than intended. For example, it does not appear to permit an advance application for a child approaching their 3</w:t>
      </w:r>
      <w:r w:rsidRPr="005830CE">
        <w:rPr>
          <w:szCs w:val="24"/>
          <w:vertAlign w:val="superscript"/>
        </w:rPr>
        <w:t>rd</w:t>
      </w:r>
      <w:r w:rsidRPr="005830CE">
        <w:rPr>
          <w:szCs w:val="24"/>
        </w:rPr>
        <w:t xml:space="preserve"> or 5</w:t>
      </w:r>
      <w:r w:rsidRPr="005830CE">
        <w:rPr>
          <w:szCs w:val="24"/>
          <w:vertAlign w:val="superscript"/>
        </w:rPr>
        <w:t>th</w:t>
      </w:r>
      <w:r w:rsidRPr="005830CE">
        <w:rPr>
          <w:szCs w:val="24"/>
        </w:rPr>
        <w:t xml:space="preserve"> birthday – the lower age limits for higher and lower mobility component</w:t>
      </w:r>
      <w:r w:rsidR="00912BFF">
        <w:rPr>
          <w:szCs w:val="24"/>
        </w:rPr>
        <w:t xml:space="preserve"> respectively</w:t>
      </w:r>
      <w:r w:rsidRPr="005830CE">
        <w:rPr>
          <w:szCs w:val="24"/>
        </w:rPr>
        <w:t xml:space="preserve">. It seems reasonable to allow applications in advance of any of the qualifying conditions being met. We suggest this </w:t>
      </w:r>
      <w:r w:rsidR="00FC3945">
        <w:rPr>
          <w:szCs w:val="24"/>
        </w:rPr>
        <w:t xml:space="preserve">be </w:t>
      </w:r>
      <w:r w:rsidRPr="005830CE">
        <w:rPr>
          <w:szCs w:val="24"/>
        </w:rPr>
        <w:t xml:space="preserve">clarified in regulations. </w:t>
      </w:r>
    </w:p>
    <w:p w:rsidR="004C258F" w:rsidRPr="005830CE" w:rsidRDefault="004C258F" w:rsidP="004C258F">
      <w:pPr>
        <w:rPr>
          <w:szCs w:val="24"/>
        </w:rPr>
      </w:pPr>
    </w:p>
    <w:p w:rsidR="004C258F" w:rsidRPr="005830CE" w:rsidRDefault="004C258F" w:rsidP="004C258F">
      <w:pPr>
        <w:rPr>
          <w:szCs w:val="24"/>
        </w:rPr>
      </w:pPr>
      <w:r w:rsidRPr="005830CE">
        <w:rPr>
          <w:szCs w:val="24"/>
        </w:rPr>
        <w:t xml:space="preserve">On a related issue, a child should be able to serve the 13-week qualifying period before their birthday, allowing entitlement to start as soon as they reach the lower age limit of 3 or 5-years-old. However, as drafted, it appears as though a child would have to wait until they were aged 5 years and 3 months before qualifying for lower rate mobility </w:t>
      </w:r>
      <w:r w:rsidR="00E90B69">
        <w:rPr>
          <w:szCs w:val="24"/>
        </w:rPr>
        <w:t xml:space="preserve">component </w:t>
      </w:r>
      <w:r w:rsidRPr="005830CE">
        <w:rPr>
          <w:szCs w:val="24"/>
        </w:rPr>
        <w:t>(regulation 6(7)(a)). We suggest regulations clarify that entitlement can begin at the lower age limit.</w:t>
      </w:r>
    </w:p>
    <w:p w:rsidR="004C258F" w:rsidRPr="005830CE" w:rsidRDefault="004C258F" w:rsidP="004C258F">
      <w:pPr>
        <w:rPr>
          <w:szCs w:val="24"/>
        </w:rPr>
      </w:pPr>
    </w:p>
    <w:p w:rsidR="004C258F" w:rsidRDefault="004C258F" w:rsidP="004C258F">
      <w:pPr>
        <w:rPr>
          <w:szCs w:val="24"/>
        </w:rPr>
      </w:pPr>
      <w:r w:rsidRPr="005830CE">
        <w:rPr>
          <w:szCs w:val="24"/>
        </w:rPr>
        <w:t>On a technical note regarding regulation 20:</w:t>
      </w:r>
    </w:p>
    <w:p w:rsidR="002A7FFA" w:rsidRPr="005830CE" w:rsidRDefault="002A7FFA" w:rsidP="004C258F">
      <w:pPr>
        <w:rPr>
          <w:szCs w:val="24"/>
        </w:rPr>
      </w:pPr>
    </w:p>
    <w:p w:rsidR="004C258F" w:rsidRPr="005830CE" w:rsidRDefault="00912BFF" w:rsidP="004C258F">
      <w:pPr>
        <w:pStyle w:val="ListParagraph"/>
        <w:numPr>
          <w:ilvl w:val="0"/>
          <w:numId w:val="38"/>
        </w:numPr>
        <w:rPr>
          <w:szCs w:val="24"/>
        </w:rPr>
      </w:pPr>
      <w:r>
        <w:t>We understand that</w:t>
      </w:r>
      <w:r w:rsidR="004C258F" w:rsidRPr="005830CE">
        <w:t xml:space="preserve"> regulation 20(2) will be amended to provide for Scottish Ministers to treat an advance application as having been made on the day requirements are satisfied, not as the draft regulation says ‘on a day after which those requirements become satisfied’. </w:t>
      </w:r>
    </w:p>
    <w:p w:rsidR="004C258F" w:rsidRPr="005830CE" w:rsidRDefault="004C258F" w:rsidP="004C258F">
      <w:pPr>
        <w:pStyle w:val="ListParagraph"/>
        <w:numPr>
          <w:ilvl w:val="0"/>
          <w:numId w:val="38"/>
        </w:numPr>
        <w:rPr>
          <w:szCs w:val="24"/>
        </w:rPr>
      </w:pPr>
      <w:r w:rsidRPr="005830CE">
        <w:t>References in regulation 20(2)(a) to regulations 6(5) and 7(10), appear to reference the wrong paragraphs.</w:t>
      </w:r>
    </w:p>
    <w:p w:rsidR="004C258F" w:rsidRPr="002A7FFA" w:rsidRDefault="004C258F" w:rsidP="004C258F">
      <w:pPr>
        <w:pStyle w:val="ListParagraph"/>
        <w:numPr>
          <w:ilvl w:val="0"/>
          <w:numId w:val="38"/>
        </w:numPr>
        <w:rPr>
          <w:szCs w:val="24"/>
        </w:rPr>
      </w:pPr>
      <w:r w:rsidRPr="005830CE">
        <w:t>Regulation 20(5) fixing the start date of entitlement when an application is received late should refer to paragraph (1) and not paragraph (2). We assume the intention is that the start date will normally be the day the application is received.</w:t>
      </w:r>
    </w:p>
    <w:p w:rsidR="002A7FFA" w:rsidRPr="002A7FFA" w:rsidRDefault="002A7FFA" w:rsidP="002A7FFA">
      <w:pPr>
        <w:ind w:left="360"/>
        <w:rPr>
          <w:szCs w:val="24"/>
        </w:rPr>
      </w:pPr>
    </w:p>
    <w:p w:rsidR="004C258F" w:rsidRPr="005830CE" w:rsidRDefault="004C258F" w:rsidP="004C258F">
      <w:pPr>
        <w:rPr>
          <w:b/>
          <w:szCs w:val="24"/>
        </w:rPr>
      </w:pPr>
      <w:r w:rsidRPr="005830CE">
        <w:rPr>
          <w:b/>
          <w:szCs w:val="24"/>
        </w:rPr>
        <w:t>Recommendation</w:t>
      </w:r>
      <w:r w:rsidR="002A7FFA">
        <w:rPr>
          <w:b/>
          <w:szCs w:val="24"/>
        </w:rPr>
        <w:t xml:space="preserve"> 9</w:t>
      </w:r>
      <w:r w:rsidRPr="005830CE">
        <w:rPr>
          <w:b/>
          <w:szCs w:val="24"/>
        </w:rPr>
        <w:t>: The Scottish Government should:</w:t>
      </w:r>
    </w:p>
    <w:p w:rsidR="004C258F" w:rsidRPr="005830CE" w:rsidRDefault="004C258F" w:rsidP="004C258F">
      <w:pPr>
        <w:pStyle w:val="ListParagraph"/>
        <w:numPr>
          <w:ilvl w:val="0"/>
          <w:numId w:val="39"/>
        </w:numPr>
        <w:rPr>
          <w:b/>
          <w:szCs w:val="24"/>
        </w:rPr>
      </w:pPr>
      <w:r w:rsidRPr="005830CE">
        <w:rPr>
          <w:b/>
          <w:szCs w:val="24"/>
        </w:rPr>
        <w:t>clarify in the regulations the circumstances in which an advance application can be made, with a view to a broad flexibility;</w:t>
      </w:r>
    </w:p>
    <w:p w:rsidR="004C258F" w:rsidRPr="005830CE" w:rsidRDefault="004C258F" w:rsidP="004C258F">
      <w:pPr>
        <w:pStyle w:val="ListParagraph"/>
        <w:numPr>
          <w:ilvl w:val="0"/>
          <w:numId w:val="39"/>
        </w:numPr>
        <w:rPr>
          <w:b/>
          <w:szCs w:val="24"/>
        </w:rPr>
      </w:pPr>
      <w:r w:rsidRPr="005830CE">
        <w:rPr>
          <w:b/>
          <w:szCs w:val="24"/>
        </w:rPr>
        <w:lastRenderedPageBreak/>
        <w:t>clarify in the regulations that the qualifying period for the lower rate mobility component can be served before a child’s 5</w:t>
      </w:r>
      <w:r w:rsidRPr="005830CE">
        <w:rPr>
          <w:b/>
          <w:szCs w:val="24"/>
          <w:vertAlign w:val="superscript"/>
        </w:rPr>
        <w:t>th</w:t>
      </w:r>
      <w:r w:rsidRPr="005830CE">
        <w:rPr>
          <w:b/>
          <w:szCs w:val="24"/>
        </w:rPr>
        <w:t xml:space="preserve"> birthday;</w:t>
      </w:r>
    </w:p>
    <w:p w:rsidR="004C258F" w:rsidRPr="005830CE" w:rsidRDefault="004C258F" w:rsidP="004C258F">
      <w:pPr>
        <w:pStyle w:val="ListParagraph"/>
        <w:numPr>
          <w:ilvl w:val="0"/>
          <w:numId w:val="39"/>
        </w:numPr>
        <w:rPr>
          <w:b/>
          <w:szCs w:val="24"/>
        </w:rPr>
      </w:pPr>
      <w:r w:rsidRPr="005830CE">
        <w:rPr>
          <w:b/>
          <w:szCs w:val="24"/>
        </w:rPr>
        <w:t>attend to the technical issues noted in relation to start dates for entitlement.</w:t>
      </w:r>
    </w:p>
    <w:p w:rsidR="004C258F" w:rsidRPr="005830CE" w:rsidRDefault="004C258F" w:rsidP="004C258F">
      <w:pPr>
        <w:rPr>
          <w:szCs w:val="24"/>
        </w:rPr>
      </w:pPr>
    </w:p>
    <w:p w:rsidR="004C258F" w:rsidRPr="005830CE" w:rsidRDefault="004C258F" w:rsidP="004C258F">
      <w:pPr>
        <w:pStyle w:val="Heading2"/>
        <w:rPr>
          <w:rFonts w:cs="Arial"/>
          <w:b/>
          <w:color w:val="000000" w:themeColor="text1"/>
          <w:szCs w:val="24"/>
        </w:rPr>
      </w:pPr>
      <w:r w:rsidRPr="005830CE">
        <w:rPr>
          <w:rFonts w:cs="Arial"/>
          <w:b/>
          <w:color w:val="000000" w:themeColor="text1"/>
          <w:szCs w:val="24"/>
        </w:rPr>
        <w:t xml:space="preserve"> </w:t>
      </w:r>
      <w:bookmarkStart w:id="18" w:name="_Toc59010244"/>
      <w:r w:rsidRPr="005830CE">
        <w:rPr>
          <w:rFonts w:cs="Arial"/>
          <w:b/>
          <w:color w:val="000000" w:themeColor="text1"/>
          <w:szCs w:val="24"/>
        </w:rPr>
        <w:t>Underpayments caused by official error</w:t>
      </w:r>
      <w:bookmarkEnd w:id="18"/>
    </w:p>
    <w:p w:rsidR="00CE4D65" w:rsidRDefault="00CE4D65" w:rsidP="00CE4D65">
      <w:r>
        <w:t>People will usually challenge CDP</w:t>
      </w:r>
      <w:r w:rsidRPr="005830CE">
        <w:t xml:space="preserve"> </w:t>
      </w:r>
      <w:r>
        <w:t>awards by asking for a</w:t>
      </w:r>
      <w:r w:rsidRPr="005830CE">
        <w:t xml:space="preserve"> re</w:t>
      </w:r>
      <w:r>
        <w:t>-</w:t>
      </w:r>
      <w:r w:rsidRPr="005830CE">
        <w:t>determination and appeal</w:t>
      </w:r>
      <w:r>
        <w:t>. I</w:t>
      </w:r>
      <w:r w:rsidRPr="005830CE">
        <w:t xml:space="preserve">f </w:t>
      </w:r>
      <w:r>
        <w:t xml:space="preserve">the award is </w:t>
      </w:r>
      <w:r w:rsidRPr="005830CE">
        <w:t xml:space="preserve">found to be wrong, </w:t>
      </w:r>
      <w:r>
        <w:t xml:space="preserve">the child will get </w:t>
      </w:r>
      <w:r w:rsidRPr="005830CE">
        <w:t>full a</w:t>
      </w:r>
      <w:r>
        <w:t>rrears paid whatever the reason the award was wrong</w:t>
      </w:r>
      <w:r w:rsidR="0056705D">
        <w:t>,</w:t>
      </w:r>
      <w:r>
        <w:t xml:space="preserve"> including official error. </w:t>
      </w:r>
      <w:r w:rsidRPr="005830CE">
        <w:t>An official error is a mistake mad</w:t>
      </w:r>
      <w:r w:rsidR="0056705D">
        <w:t>e by the state (Scottish or UK G</w:t>
      </w:r>
      <w:r w:rsidRPr="005830CE">
        <w:t>overnment).</w:t>
      </w:r>
      <w:r>
        <w:t xml:space="preserve"> If it is too late to correct an official error</w:t>
      </w:r>
      <w:r w:rsidR="0056705D">
        <w:t xml:space="preserve"> the usual</w:t>
      </w:r>
      <w:r>
        <w:t xml:space="preserve"> way, Social Security Scotland can still change an award through the ‘determination without application’ process. However, through this process, regulation 27(1)(d) starts correct entitlement from the date on which Social Security Scotland becomes aware of the </w:t>
      </w:r>
      <w:r w:rsidR="00D654C7">
        <w:t xml:space="preserve">official </w:t>
      </w:r>
      <w:r>
        <w:t xml:space="preserve">error. If that would be </w:t>
      </w:r>
      <w:r w:rsidR="00F611B9">
        <w:t>‘</w:t>
      </w:r>
      <w:r>
        <w:t>unjust</w:t>
      </w:r>
      <w:r w:rsidR="00F611B9">
        <w:t>’</w:t>
      </w:r>
      <w:r>
        <w:t xml:space="preserve">, </w:t>
      </w:r>
      <w:r w:rsidRPr="005830CE">
        <w:t>there is discretion in regulation 27(</w:t>
      </w:r>
      <w:r>
        <w:t>2) to set an earlier date</w:t>
      </w:r>
      <w:r w:rsidR="00AC6AB6">
        <w:t xml:space="preserve"> and pay arrears further back</w:t>
      </w:r>
      <w:r>
        <w:t xml:space="preserve">. </w:t>
      </w:r>
    </w:p>
    <w:p w:rsidR="004C258F" w:rsidRPr="005830CE" w:rsidRDefault="004C258F" w:rsidP="004C258F"/>
    <w:p w:rsidR="004C258F" w:rsidRPr="005830CE" w:rsidRDefault="004C258F" w:rsidP="004C258F">
      <w:r w:rsidRPr="005830CE">
        <w:t xml:space="preserve">The Charter promises to ‘pay you on time in the right amount’ and goes on to say, in the context of encouraging complaints when things go wrong, that Social Security Scotland will ‘do everything we can to make things right’. To make good on the Charter commitments, it is hard to imagine in what situations it would be fair or just to withhold </w:t>
      </w:r>
      <w:r w:rsidR="00AC3A15">
        <w:t xml:space="preserve">fully backdated </w:t>
      </w:r>
      <w:r w:rsidRPr="005830CE">
        <w:t xml:space="preserve">correct entitlement when an official error has been established. </w:t>
      </w:r>
      <w:r w:rsidR="00C23F19">
        <w:t>Further</w:t>
      </w:r>
      <w:r w:rsidRPr="005830CE">
        <w:t>, relying on an exercise of discretion to decide whether to pay or not seems an unnecessary barrier, and possibly one that would be subject to challenge on human rights grounds</w:t>
      </w:r>
      <w:r w:rsidR="005830CE" w:rsidRPr="005830CE">
        <w:t>, depending on how it is used in practice</w:t>
      </w:r>
      <w:r w:rsidRPr="005830CE">
        <w:t>.</w:t>
      </w:r>
      <w:r w:rsidRPr="005830CE">
        <w:rPr>
          <w:rStyle w:val="FootnoteReference"/>
        </w:rPr>
        <w:footnoteReference w:id="20"/>
      </w:r>
    </w:p>
    <w:p w:rsidR="005830CE" w:rsidRPr="005830CE" w:rsidRDefault="005830CE" w:rsidP="004C258F"/>
    <w:p w:rsidR="004C258F" w:rsidRPr="005830CE" w:rsidRDefault="004C258F" w:rsidP="004C258F">
      <w:r w:rsidRPr="005830CE">
        <w:t>If the Scottish Government has strong reasons for needing the power to withhold payment, there should be specified exceptions. The general rule should be that a child has a right to receive their correct entitlement fully backdated.</w:t>
      </w:r>
    </w:p>
    <w:p w:rsidR="004C258F" w:rsidRPr="005830CE" w:rsidRDefault="004C258F" w:rsidP="004C258F"/>
    <w:p w:rsidR="004C258F" w:rsidRDefault="004C258F" w:rsidP="004C258F">
      <w:r w:rsidRPr="005830CE">
        <w:t>We also note that, as currently drafted, this rule is now out of line with both Scottish Child Payment (SCP)</w:t>
      </w:r>
      <w:r w:rsidRPr="005830CE">
        <w:rPr>
          <w:rStyle w:val="FootnoteReference"/>
        </w:rPr>
        <w:footnoteReference w:id="21"/>
      </w:r>
      <w:r w:rsidRPr="005830CE">
        <w:t xml:space="preserve"> and DLA.</w:t>
      </w:r>
      <w:r w:rsidRPr="005830CE">
        <w:rPr>
          <w:rStyle w:val="FootnoteReference"/>
        </w:rPr>
        <w:footnoteReference w:id="22"/>
      </w:r>
      <w:r w:rsidRPr="005830CE">
        <w:t xml:space="preserve"> In the interests of consistency across Scottish benefits, CDP and SCP rules on paying </w:t>
      </w:r>
      <w:r w:rsidRPr="005830CE">
        <w:lastRenderedPageBreak/>
        <w:t xml:space="preserve">arrears due following an official error should be the same unless there is a good reason for the difference. </w:t>
      </w:r>
    </w:p>
    <w:p w:rsidR="004C258F" w:rsidRPr="005830CE" w:rsidRDefault="004C258F" w:rsidP="004C258F"/>
    <w:p w:rsidR="004C258F" w:rsidRPr="005830CE" w:rsidRDefault="004C258F" w:rsidP="004C258F">
      <w:pPr>
        <w:rPr>
          <w:b/>
        </w:rPr>
      </w:pPr>
      <w:r w:rsidRPr="005830CE">
        <w:rPr>
          <w:b/>
        </w:rPr>
        <w:t>Recommendation</w:t>
      </w:r>
      <w:r w:rsidR="002A7FFA">
        <w:rPr>
          <w:b/>
        </w:rPr>
        <w:t xml:space="preserve"> 10</w:t>
      </w:r>
      <w:r w:rsidRPr="005830CE">
        <w:rPr>
          <w:b/>
        </w:rPr>
        <w:t>: The Scottish Government should amend the regulations so that the general rule is that a child has a right to receive their correct entitlement fully backdated when an official error has caused an underpayment.</w:t>
      </w:r>
    </w:p>
    <w:p w:rsidR="004C258F" w:rsidRPr="005830CE" w:rsidRDefault="004C258F" w:rsidP="004C258F">
      <w:pPr>
        <w:rPr>
          <w:b/>
        </w:rPr>
      </w:pPr>
    </w:p>
    <w:p w:rsidR="004C258F" w:rsidRPr="005830CE" w:rsidRDefault="004C258F" w:rsidP="004C258F">
      <w:pPr>
        <w:pStyle w:val="Heading2"/>
        <w:rPr>
          <w:rFonts w:cs="Arial"/>
          <w:b/>
        </w:rPr>
      </w:pPr>
      <w:bookmarkStart w:id="19" w:name="_Toc59010245"/>
      <w:r w:rsidRPr="005830CE">
        <w:rPr>
          <w:rFonts w:cs="Arial"/>
          <w:b/>
        </w:rPr>
        <w:t>Payments</w:t>
      </w:r>
      <w:bookmarkEnd w:id="19"/>
    </w:p>
    <w:p w:rsidR="004C258F" w:rsidRPr="005830CE" w:rsidRDefault="004C258F" w:rsidP="004C258F">
      <w:pPr>
        <w:rPr>
          <w:szCs w:val="24"/>
        </w:rPr>
      </w:pPr>
      <w:r w:rsidRPr="005830CE">
        <w:rPr>
          <w:szCs w:val="24"/>
        </w:rPr>
        <w:t xml:space="preserve">The Scottish Government has said it will </w:t>
      </w:r>
      <w:r w:rsidR="009C5E96">
        <w:rPr>
          <w:szCs w:val="24"/>
        </w:rPr>
        <w:t>offer</w:t>
      </w:r>
      <w:r w:rsidR="009C5E96" w:rsidRPr="005830CE">
        <w:rPr>
          <w:szCs w:val="24"/>
        </w:rPr>
        <w:t xml:space="preserve"> </w:t>
      </w:r>
      <w:r w:rsidRPr="005830CE">
        <w:rPr>
          <w:szCs w:val="24"/>
        </w:rPr>
        <w:t>various payment methods</w:t>
      </w:r>
      <w:r w:rsidR="00EB0CC5">
        <w:rPr>
          <w:szCs w:val="24"/>
        </w:rPr>
        <w:t xml:space="preserve"> as well as </w:t>
      </w:r>
      <w:r w:rsidR="00AF3833">
        <w:rPr>
          <w:szCs w:val="24"/>
        </w:rPr>
        <w:t xml:space="preserve">paying into a </w:t>
      </w:r>
      <w:r w:rsidR="00EB0CC5">
        <w:rPr>
          <w:szCs w:val="24"/>
        </w:rPr>
        <w:t>bank account,</w:t>
      </w:r>
      <w:r w:rsidRPr="005830CE">
        <w:rPr>
          <w:szCs w:val="24"/>
        </w:rPr>
        <w:t xml:space="preserve"> such as a Post Office or Credit Union account</w:t>
      </w:r>
      <w:r w:rsidR="00EB0CC5">
        <w:rPr>
          <w:szCs w:val="24"/>
        </w:rPr>
        <w:t xml:space="preserve"> or digital voucher system</w:t>
      </w:r>
      <w:r w:rsidR="000433D2">
        <w:rPr>
          <w:szCs w:val="24"/>
        </w:rPr>
        <w:t>,</w:t>
      </w:r>
      <w:r w:rsidR="00EB0CC5">
        <w:rPr>
          <w:rStyle w:val="FootnoteReference"/>
          <w:szCs w:val="24"/>
        </w:rPr>
        <w:footnoteReference w:id="23"/>
      </w:r>
      <w:r w:rsidRPr="005830CE">
        <w:rPr>
          <w:szCs w:val="24"/>
        </w:rPr>
        <w:t xml:space="preserve"> recognising that payment method is of particular importance for some communities</w:t>
      </w:r>
      <w:r w:rsidR="00EB0CC5">
        <w:rPr>
          <w:szCs w:val="24"/>
        </w:rPr>
        <w:t xml:space="preserve"> and for young adult</w:t>
      </w:r>
      <w:r w:rsidR="00FC3945">
        <w:rPr>
          <w:szCs w:val="24"/>
        </w:rPr>
        <w:t>s</w:t>
      </w:r>
      <w:r w:rsidR="00EB0CC5">
        <w:rPr>
          <w:szCs w:val="24"/>
        </w:rPr>
        <w:t xml:space="preserve"> who have not yet opened an account</w:t>
      </w:r>
      <w:r w:rsidRPr="005830CE">
        <w:rPr>
          <w:szCs w:val="24"/>
        </w:rPr>
        <w:t>.</w:t>
      </w:r>
      <w:r w:rsidRPr="005830CE">
        <w:rPr>
          <w:rStyle w:val="FootnoteReference"/>
          <w:szCs w:val="24"/>
        </w:rPr>
        <w:footnoteReference w:id="24"/>
      </w:r>
      <w:r w:rsidRPr="005830CE">
        <w:rPr>
          <w:szCs w:val="24"/>
        </w:rPr>
        <w:t xml:space="preserve"> </w:t>
      </w:r>
    </w:p>
    <w:p w:rsidR="004C258F" w:rsidRPr="005830CE" w:rsidRDefault="004C258F" w:rsidP="004C258F">
      <w:pPr>
        <w:rPr>
          <w:szCs w:val="24"/>
        </w:rPr>
      </w:pPr>
    </w:p>
    <w:p w:rsidR="004C258F" w:rsidRPr="005830CE" w:rsidRDefault="004C258F" w:rsidP="004C258F">
      <w:r w:rsidRPr="005830CE">
        <w:rPr>
          <w:szCs w:val="24"/>
        </w:rPr>
        <w:t xml:space="preserve">We are not clear that the draft regulations reflect this intention. </w:t>
      </w:r>
      <w:r w:rsidRPr="005830CE">
        <w:t>On reaching age 16, it seems that Social Security Scotland is required to take action if a young person has not notified ‘their bank details’, which we assume means CDP payment will end (regulation 24(1)(a)(vii)). Officials have told us that this would be a last resort and, in any case, the regulation will be modified when provision to suspend entitlement is introduced under the Social Security Administration and Tribunal Membership (Scotland) Act 2020.</w:t>
      </w:r>
    </w:p>
    <w:p w:rsidR="004C258F" w:rsidRPr="005830CE" w:rsidRDefault="004C258F" w:rsidP="004C258F"/>
    <w:p w:rsidR="008A2C14" w:rsidRDefault="008A2C14" w:rsidP="00680E54">
      <w:r>
        <w:t xml:space="preserve">There </w:t>
      </w:r>
      <w:r w:rsidR="00275711">
        <w:t>is a</w:t>
      </w:r>
      <w:r>
        <w:t xml:space="preserve"> further</w:t>
      </w:r>
      <w:r w:rsidR="00CC53CC">
        <w:t xml:space="preserve"> </w:t>
      </w:r>
      <w:r>
        <w:t>technical</w:t>
      </w:r>
      <w:r w:rsidR="00CC53CC">
        <w:t xml:space="preserve"> issue with payments</w:t>
      </w:r>
      <w:r>
        <w:t>. If</w:t>
      </w:r>
      <w:r w:rsidR="00CC53CC">
        <w:t xml:space="preserve"> a child should die</w:t>
      </w:r>
      <w:r>
        <w:t xml:space="preserve"> while entitled to CDP, i</w:t>
      </w:r>
      <w:r w:rsidR="00CC53CC">
        <w:t>nstead of a run-on of entitlement, the policy seems to be to make an extra payment equivalent to 8 weeks of entitlement. Drafting of regulation 30(6) does not clearly achieve this. For example</w:t>
      </w:r>
      <w:r w:rsidR="00A60593">
        <w:t>,</w:t>
      </w:r>
      <w:r w:rsidR="00CC53CC">
        <w:t xml:space="preserve"> it links the amount of the extra payment not to the weekly rate applicable at the date of death but to the amount actually paid in the week ending with the date of death, which does not seem to fit with a 4-weekly payment cycle. </w:t>
      </w:r>
    </w:p>
    <w:p w:rsidR="00CC53CC" w:rsidRDefault="00CC53CC" w:rsidP="004C258F"/>
    <w:p w:rsidR="00CC53CC" w:rsidRDefault="004C258F" w:rsidP="004C258F">
      <w:pPr>
        <w:rPr>
          <w:b/>
        </w:rPr>
      </w:pPr>
      <w:r w:rsidRPr="005830CE">
        <w:rPr>
          <w:b/>
        </w:rPr>
        <w:t>Recommendation</w:t>
      </w:r>
      <w:r w:rsidR="002A7FFA">
        <w:rPr>
          <w:b/>
        </w:rPr>
        <w:t xml:space="preserve"> 11</w:t>
      </w:r>
      <w:r w:rsidRPr="005830CE">
        <w:rPr>
          <w:b/>
        </w:rPr>
        <w:t>: The Scottish Government should</w:t>
      </w:r>
      <w:r w:rsidR="00CC53CC">
        <w:rPr>
          <w:b/>
        </w:rPr>
        <w:t>:</w:t>
      </w:r>
    </w:p>
    <w:p w:rsidR="00B6566B" w:rsidRPr="000433D2" w:rsidRDefault="004C258F" w:rsidP="00680E54">
      <w:pPr>
        <w:pStyle w:val="ListParagraph"/>
        <w:numPr>
          <w:ilvl w:val="0"/>
          <w:numId w:val="46"/>
        </w:numPr>
        <w:rPr>
          <w:b/>
        </w:rPr>
      </w:pPr>
      <w:r w:rsidRPr="00680E54">
        <w:rPr>
          <w:b/>
        </w:rPr>
        <w:t xml:space="preserve">ensure that the policy intention on flexible payment methods </w:t>
      </w:r>
      <w:r w:rsidRPr="000433D2">
        <w:rPr>
          <w:b/>
        </w:rPr>
        <w:t>for young people is fully realised in the regulations</w:t>
      </w:r>
      <w:r w:rsidR="00CC53CC" w:rsidRPr="000433D2">
        <w:rPr>
          <w:b/>
        </w:rPr>
        <w:t>;</w:t>
      </w:r>
    </w:p>
    <w:p w:rsidR="006E02A0" w:rsidRPr="000433D2" w:rsidRDefault="00CC53CC" w:rsidP="00680E54">
      <w:pPr>
        <w:pStyle w:val="ListParagraph"/>
        <w:numPr>
          <w:ilvl w:val="0"/>
          <w:numId w:val="46"/>
        </w:numPr>
      </w:pPr>
      <w:r w:rsidRPr="000433D2">
        <w:rPr>
          <w:b/>
        </w:rPr>
        <w:t>ensure that</w:t>
      </w:r>
      <w:r w:rsidR="00551C93" w:rsidRPr="000433D2">
        <w:rPr>
          <w:b/>
        </w:rPr>
        <w:t xml:space="preserve"> regulation 30(6) achieves the policy intention </w:t>
      </w:r>
      <w:r w:rsidR="000433D2" w:rsidRPr="000433D2">
        <w:rPr>
          <w:b/>
        </w:rPr>
        <w:t>of paying the equivalent of 8 more weeks CDP</w:t>
      </w:r>
      <w:r w:rsidR="00551C93" w:rsidRPr="000433D2">
        <w:rPr>
          <w:b/>
        </w:rPr>
        <w:t xml:space="preserve"> if a child dies</w:t>
      </w:r>
      <w:r w:rsidR="00275711" w:rsidRPr="000433D2">
        <w:rPr>
          <w:b/>
        </w:rPr>
        <w:t>.</w:t>
      </w:r>
    </w:p>
    <w:p w:rsidR="004C258F" w:rsidRPr="005830CE" w:rsidRDefault="004C258F" w:rsidP="000977F0">
      <w:pPr>
        <w:rPr>
          <w:szCs w:val="22"/>
        </w:rPr>
      </w:pPr>
    </w:p>
    <w:p w:rsidR="000977F0" w:rsidRPr="005830CE" w:rsidRDefault="000977F0" w:rsidP="009B0CD4">
      <w:pPr>
        <w:pStyle w:val="Heading1"/>
        <w:rPr>
          <w:rFonts w:cs="Arial"/>
          <w:b/>
          <w:sz w:val="32"/>
          <w:szCs w:val="32"/>
        </w:rPr>
      </w:pPr>
      <w:bookmarkStart w:id="20" w:name="_Toc59010246"/>
      <w:r w:rsidRPr="005830CE">
        <w:rPr>
          <w:rFonts w:cs="Arial"/>
          <w:b/>
          <w:sz w:val="32"/>
          <w:szCs w:val="32"/>
        </w:rPr>
        <w:lastRenderedPageBreak/>
        <w:t>Residence and presence conditions</w:t>
      </w:r>
      <w:bookmarkEnd w:id="20"/>
    </w:p>
    <w:p w:rsidR="00584BDF" w:rsidRPr="005830CE" w:rsidRDefault="005A6642" w:rsidP="00584BDF">
      <w:pPr>
        <w:rPr>
          <w:bCs/>
        </w:rPr>
      </w:pPr>
      <w:r w:rsidRPr="005830CE">
        <w:rPr>
          <w:bCs/>
        </w:rPr>
        <w:t xml:space="preserve">CDP has conditions about presence in Scotland and the UK which specify how long a child must have been in the UK before they can be eligible. This is 13 weeks for babies under six months, 26 weeks for infants up to age two, and two years for children from age three. This two-year </w:t>
      </w:r>
      <w:r w:rsidR="004C258F" w:rsidRPr="005830CE">
        <w:rPr>
          <w:bCs/>
        </w:rPr>
        <w:t>‘</w:t>
      </w:r>
      <w:r w:rsidRPr="005830CE">
        <w:rPr>
          <w:bCs/>
        </w:rPr>
        <w:t>past presence</w:t>
      </w:r>
      <w:r w:rsidR="004C258F" w:rsidRPr="005830CE">
        <w:rPr>
          <w:bCs/>
        </w:rPr>
        <w:t>’</w:t>
      </w:r>
      <w:r w:rsidRPr="005830CE">
        <w:rPr>
          <w:bCs/>
        </w:rPr>
        <w:t xml:space="preserve"> test in </w:t>
      </w:r>
      <w:r w:rsidR="00743116" w:rsidRPr="005830CE">
        <w:rPr>
          <w:bCs/>
        </w:rPr>
        <w:t>DLA</w:t>
      </w:r>
      <w:r w:rsidRPr="005830CE">
        <w:rPr>
          <w:bCs/>
        </w:rPr>
        <w:t xml:space="preserve"> has been held by </w:t>
      </w:r>
      <w:r w:rsidR="00835995" w:rsidRPr="005830CE">
        <w:rPr>
          <w:bCs/>
        </w:rPr>
        <w:t>the</w:t>
      </w:r>
      <w:r w:rsidRPr="005830CE">
        <w:rPr>
          <w:bCs/>
        </w:rPr>
        <w:t xml:space="preserve"> Upper Tribunal</w:t>
      </w:r>
      <w:r w:rsidR="00872F41" w:rsidRPr="005830CE">
        <w:rPr>
          <w:rStyle w:val="FootnoteReference"/>
          <w:bCs/>
        </w:rPr>
        <w:footnoteReference w:id="25"/>
      </w:r>
      <w:r w:rsidRPr="005830CE">
        <w:rPr>
          <w:bCs/>
        </w:rPr>
        <w:t xml:space="preserve"> to be in breach of the United Nations Convention on the Rights of the Child (UNCRC)</w:t>
      </w:r>
      <w:r w:rsidR="000433D2">
        <w:rPr>
          <w:bCs/>
        </w:rPr>
        <w:t xml:space="preserve"> and</w:t>
      </w:r>
      <w:r w:rsidRPr="005830CE">
        <w:rPr>
          <w:bCs/>
        </w:rPr>
        <w:t xml:space="preserve"> the European Convention on Human Rights (ECHR). The remedy given is to apply the 26-week past presence test to all children from the age of six months. </w:t>
      </w:r>
    </w:p>
    <w:p w:rsidR="00584BDF" w:rsidRPr="005830CE" w:rsidRDefault="00584BDF" w:rsidP="00584BDF">
      <w:pPr>
        <w:rPr>
          <w:bCs/>
        </w:rPr>
      </w:pPr>
    </w:p>
    <w:p w:rsidR="00584BDF" w:rsidRPr="005830CE" w:rsidRDefault="00A67588" w:rsidP="00584BDF">
      <w:pPr>
        <w:rPr>
          <w:szCs w:val="22"/>
        </w:rPr>
      </w:pPr>
      <w:r w:rsidRPr="005830CE">
        <w:rPr>
          <w:szCs w:val="22"/>
        </w:rPr>
        <w:t>The Scottish system of social security recognises that social security is itself a human right.</w:t>
      </w:r>
      <w:r w:rsidR="00FC3945">
        <w:rPr>
          <w:rStyle w:val="FootnoteReference"/>
          <w:szCs w:val="22"/>
        </w:rPr>
        <w:footnoteReference w:id="26"/>
      </w:r>
      <w:r w:rsidRPr="005830CE">
        <w:rPr>
          <w:szCs w:val="22"/>
        </w:rPr>
        <w:t xml:space="preserve"> Protecting and fully realising human rights is fundamental</w:t>
      </w:r>
      <w:r w:rsidR="00293935" w:rsidRPr="005830CE">
        <w:rPr>
          <w:szCs w:val="22"/>
        </w:rPr>
        <w:t xml:space="preserve"> to the system</w:t>
      </w:r>
      <w:r w:rsidRPr="005830CE">
        <w:rPr>
          <w:szCs w:val="22"/>
        </w:rPr>
        <w:t xml:space="preserve">. </w:t>
      </w:r>
      <w:r w:rsidR="000433D2">
        <w:rPr>
          <w:szCs w:val="22"/>
        </w:rPr>
        <w:t>Indeed</w:t>
      </w:r>
      <w:r w:rsidR="00FC3945">
        <w:rPr>
          <w:szCs w:val="22"/>
        </w:rPr>
        <w:t>,</w:t>
      </w:r>
      <w:r w:rsidR="000433D2">
        <w:rPr>
          <w:szCs w:val="22"/>
        </w:rPr>
        <w:t xml:space="preserve"> it is not within devolved competence for the Scottish Government or Scottish Parliament to make legislation that is incompatible with the ECHR.</w:t>
      </w:r>
      <w:r w:rsidR="000433D2">
        <w:rPr>
          <w:rStyle w:val="FootnoteReference"/>
          <w:szCs w:val="22"/>
        </w:rPr>
        <w:footnoteReference w:id="27"/>
      </w:r>
      <w:r w:rsidR="000433D2">
        <w:rPr>
          <w:szCs w:val="22"/>
        </w:rPr>
        <w:t xml:space="preserve"> </w:t>
      </w:r>
      <w:r w:rsidR="00293935" w:rsidRPr="005830CE">
        <w:rPr>
          <w:szCs w:val="22"/>
        </w:rPr>
        <w:t xml:space="preserve">Furthermore, </w:t>
      </w:r>
      <w:r w:rsidR="00FC3945">
        <w:t>t</w:t>
      </w:r>
      <w:r w:rsidRPr="005830CE">
        <w:t>he United Nations Convention on the Rights of the Child (Incorporation) (Scotland) Bill</w:t>
      </w:r>
      <w:r w:rsidR="00736778" w:rsidRPr="005830CE">
        <w:t>,</w:t>
      </w:r>
      <w:r w:rsidRPr="005830CE">
        <w:t xml:space="preserve"> </w:t>
      </w:r>
      <w:r w:rsidR="00736778" w:rsidRPr="005830CE">
        <w:t xml:space="preserve">if </w:t>
      </w:r>
      <w:r w:rsidRPr="005830CE">
        <w:t xml:space="preserve">passed by </w:t>
      </w:r>
      <w:r w:rsidR="00736778" w:rsidRPr="005830CE">
        <w:t xml:space="preserve">the Scottish </w:t>
      </w:r>
      <w:r w:rsidRPr="005830CE">
        <w:t>Parliament</w:t>
      </w:r>
      <w:r w:rsidR="00736778" w:rsidRPr="005830CE">
        <w:t>,</w:t>
      </w:r>
      <w:r w:rsidRPr="005830CE">
        <w:t xml:space="preserve"> will make it unlawful for a public authority to act in a way which is incompatible with the UNCRC </w:t>
      </w:r>
      <w:r w:rsidR="00293935" w:rsidRPr="005830CE">
        <w:t>requirements.</w:t>
      </w:r>
      <w:r w:rsidR="00293935" w:rsidRPr="005830CE">
        <w:rPr>
          <w:rStyle w:val="FootnoteReference"/>
        </w:rPr>
        <w:footnoteReference w:id="28"/>
      </w:r>
      <w:r w:rsidR="004C258F" w:rsidRPr="005830CE">
        <w:t xml:space="preserve"> </w:t>
      </w:r>
    </w:p>
    <w:p w:rsidR="000C648C" w:rsidRPr="005830CE" w:rsidRDefault="000C648C" w:rsidP="00584BDF">
      <w:pPr>
        <w:rPr>
          <w:szCs w:val="22"/>
        </w:rPr>
      </w:pPr>
    </w:p>
    <w:p w:rsidR="000C648C" w:rsidRPr="005830CE" w:rsidRDefault="000C648C" w:rsidP="00584BDF">
      <w:pPr>
        <w:rPr>
          <w:b/>
          <w:szCs w:val="22"/>
        </w:rPr>
      </w:pPr>
      <w:r w:rsidRPr="005830CE">
        <w:rPr>
          <w:b/>
          <w:szCs w:val="22"/>
        </w:rPr>
        <w:t>Recommendation</w:t>
      </w:r>
      <w:r w:rsidR="002A7FFA">
        <w:rPr>
          <w:b/>
          <w:szCs w:val="22"/>
        </w:rPr>
        <w:t xml:space="preserve"> 12</w:t>
      </w:r>
      <w:r w:rsidRPr="005830CE">
        <w:rPr>
          <w:b/>
          <w:szCs w:val="22"/>
        </w:rPr>
        <w:t xml:space="preserve">: The Scottish Government </w:t>
      </w:r>
      <w:r w:rsidR="00736778" w:rsidRPr="005830CE">
        <w:rPr>
          <w:b/>
          <w:szCs w:val="22"/>
        </w:rPr>
        <w:t xml:space="preserve">should </w:t>
      </w:r>
      <w:r w:rsidRPr="005830CE">
        <w:rPr>
          <w:b/>
          <w:szCs w:val="22"/>
        </w:rPr>
        <w:t xml:space="preserve">consider how to amend the past presence test for CDP to </w:t>
      </w:r>
      <w:r w:rsidR="007328BD">
        <w:rPr>
          <w:b/>
          <w:szCs w:val="22"/>
        </w:rPr>
        <w:t>ensure that it complies</w:t>
      </w:r>
      <w:r w:rsidRPr="005830CE">
        <w:rPr>
          <w:b/>
          <w:szCs w:val="22"/>
        </w:rPr>
        <w:t xml:space="preserve"> with human rights legislation.</w:t>
      </w:r>
    </w:p>
    <w:p w:rsidR="0072572F" w:rsidRPr="005830CE" w:rsidRDefault="0072572F" w:rsidP="000C648C">
      <w:pPr>
        <w:rPr>
          <w:szCs w:val="22"/>
        </w:rPr>
      </w:pPr>
    </w:p>
    <w:p w:rsidR="000977F0" w:rsidRPr="005830CE" w:rsidRDefault="000977F0" w:rsidP="000977F0">
      <w:pPr>
        <w:pStyle w:val="ListParagraph"/>
        <w:rPr>
          <w:szCs w:val="22"/>
        </w:rPr>
      </w:pPr>
    </w:p>
    <w:p w:rsidR="00C6559C" w:rsidRPr="005830CE" w:rsidRDefault="00D815F4" w:rsidP="009B0CD4">
      <w:pPr>
        <w:pStyle w:val="Heading1"/>
        <w:rPr>
          <w:rFonts w:cs="Arial"/>
          <w:b/>
          <w:sz w:val="32"/>
          <w:szCs w:val="32"/>
        </w:rPr>
      </w:pPr>
      <w:bookmarkStart w:id="21" w:name="_Toc59010247"/>
      <w:r w:rsidRPr="005830CE">
        <w:rPr>
          <w:rFonts w:cs="Arial"/>
          <w:b/>
          <w:sz w:val="32"/>
          <w:szCs w:val="32"/>
        </w:rPr>
        <w:t>Other matters</w:t>
      </w:r>
      <w:bookmarkEnd w:id="21"/>
    </w:p>
    <w:p w:rsidR="00C6559C" w:rsidRPr="005830CE" w:rsidRDefault="00C6559C" w:rsidP="00584BDF">
      <w:pPr>
        <w:pStyle w:val="Heading2"/>
        <w:rPr>
          <w:rFonts w:cs="Arial"/>
          <w:b/>
          <w:color w:val="000000" w:themeColor="text1"/>
          <w:szCs w:val="24"/>
        </w:rPr>
      </w:pPr>
      <w:bookmarkStart w:id="22" w:name="_Toc59010248"/>
      <w:r w:rsidRPr="005830CE">
        <w:rPr>
          <w:rFonts w:cs="Arial"/>
          <w:b/>
          <w:color w:val="000000" w:themeColor="text1"/>
          <w:szCs w:val="24"/>
        </w:rPr>
        <w:t>Age rules</w:t>
      </w:r>
      <w:bookmarkEnd w:id="22"/>
    </w:p>
    <w:p w:rsidR="00C6559C" w:rsidRPr="005830CE" w:rsidRDefault="000218AF" w:rsidP="004C258F">
      <w:pPr>
        <w:rPr>
          <w:rFonts w:eastAsia="Times New Roman"/>
          <w:color w:val="333333"/>
          <w:sz w:val="27"/>
          <w:szCs w:val="27"/>
          <w:lang w:eastAsia="en-GB"/>
        </w:rPr>
      </w:pPr>
      <w:r w:rsidRPr="005830CE">
        <w:rPr>
          <w:szCs w:val="22"/>
        </w:rPr>
        <w:t>Young people can only be eligible for CDP beyond their 18</w:t>
      </w:r>
      <w:r w:rsidRPr="005830CE">
        <w:rPr>
          <w:szCs w:val="22"/>
          <w:vertAlign w:val="superscript"/>
        </w:rPr>
        <w:t>th</w:t>
      </w:r>
      <w:r w:rsidRPr="005830CE">
        <w:rPr>
          <w:szCs w:val="22"/>
        </w:rPr>
        <w:t xml:space="preserve"> birthday if they have applied for </w:t>
      </w:r>
      <w:r w:rsidR="002661B3" w:rsidRPr="005830CE">
        <w:rPr>
          <w:szCs w:val="22"/>
        </w:rPr>
        <w:t xml:space="preserve">Adult Disability Payment </w:t>
      </w:r>
      <w:r w:rsidR="00005711" w:rsidRPr="005830CE">
        <w:rPr>
          <w:szCs w:val="22"/>
        </w:rPr>
        <w:t>and are waiting for a determination</w:t>
      </w:r>
      <w:r w:rsidR="002661B3" w:rsidRPr="005830CE">
        <w:rPr>
          <w:szCs w:val="22"/>
        </w:rPr>
        <w:t xml:space="preserve">. This provision is in </w:t>
      </w:r>
      <w:r w:rsidR="00005711" w:rsidRPr="005830CE">
        <w:rPr>
          <w:szCs w:val="22"/>
        </w:rPr>
        <w:t>regulation 2</w:t>
      </w:r>
      <w:r w:rsidR="002661B3" w:rsidRPr="005830CE">
        <w:rPr>
          <w:szCs w:val="22"/>
        </w:rPr>
        <w:t>, in the</w:t>
      </w:r>
      <w:r w:rsidR="00005711" w:rsidRPr="005830CE">
        <w:rPr>
          <w:szCs w:val="22"/>
        </w:rPr>
        <w:t xml:space="preserve"> meaning of ‘young person’. Adult </w:t>
      </w:r>
      <w:r w:rsidR="002661B3" w:rsidRPr="005830CE">
        <w:rPr>
          <w:szCs w:val="22"/>
        </w:rPr>
        <w:t xml:space="preserve">Disability Payment </w:t>
      </w:r>
      <w:r w:rsidR="00005711" w:rsidRPr="005830CE">
        <w:rPr>
          <w:szCs w:val="22"/>
        </w:rPr>
        <w:t>is</w:t>
      </w:r>
      <w:r w:rsidR="00872F41" w:rsidRPr="005830CE">
        <w:rPr>
          <w:szCs w:val="22"/>
        </w:rPr>
        <w:t xml:space="preserve"> the Scottish Government’s proposed replacement for pe</w:t>
      </w:r>
      <w:r w:rsidR="00005711" w:rsidRPr="005830CE">
        <w:rPr>
          <w:szCs w:val="22"/>
        </w:rPr>
        <w:t>rsonal independence payment (</w:t>
      </w:r>
      <w:r w:rsidR="00872F41" w:rsidRPr="005830CE">
        <w:rPr>
          <w:szCs w:val="22"/>
        </w:rPr>
        <w:t>PIP)</w:t>
      </w:r>
      <w:r w:rsidR="00005711" w:rsidRPr="005830CE">
        <w:rPr>
          <w:szCs w:val="22"/>
        </w:rPr>
        <w:t>.</w:t>
      </w:r>
      <w:r w:rsidR="004C258F" w:rsidRPr="005830CE">
        <w:rPr>
          <w:szCs w:val="22"/>
        </w:rPr>
        <w:t xml:space="preserve"> </w:t>
      </w:r>
      <w:r w:rsidRPr="005830CE">
        <w:rPr>
          <w:szCs w:val="22"/>
        </w:rPr>
        <w:t xml:space="preserve">CDP can then be paid until </w:t>
      </w:r>
      <w:r w:rsidR="002661B3" w:rsidRPr="005830CE">
        <w:rPr>
          <w:szCs w:val="22"/>
        </w:rPr>
        <w:t xml:space="preserve">Adult Disability Payment </w:t>
      </w:r>
      <w:r w:rsidRPr="005830CE">
        <w:rPr>
          <w:szCs w:val="22"/>
        </w:rPr>
        <w:t>is determine</w:t>
      </w:r>
      <w:r w:rsidR="00690EDE" w:rsidRPr="005830CE">
        <w:rPr>
          <w:szCs w:val="22"/>
        </w:rPr>
        <w:t>d</w:t>
      </w:r>
      <w:r w:rsidR="00872F41" w:rsidRPr="005830CE">
        <w:rPr>
          <w:szCs w:val="22"/>
        </w:rPr>
        <w:t>,</w:t>
      </w:r>
      <w:r w:rsidR="00690EDE" w:rsidRPr="005830CE">
        <w:rPr>
          <w:szCs w:val="22"/>
        </w:rPr>
        <w:t xml:space="preserve"> to avoid gaps in entitlement. </w:t>
      </w:r>
      <w:r w:rsidR="00265DC9" w:rsidRPr="005830CE">
        <w:rPr>
          <w:szCs w:val="22"/>
        </w:rPr>
        <w:t xml:space="preserve">The Scottish Government aims to roll out </w:t>
      </w:r>
      <w:r w:rsidR="00690EDE" w:rsidRPr="005830CE">
        <w:rPr>
          <w:szCs w:val="22"/>
        </w:rPr>
        <w:t xml:space="preserve">CDP </w:t>
      </w:r>
      <w:r w:rsidR="00A95A4B" w:rsidRPr="005830CE">
        <w:rPr>
          <w:szCs w:val="22"/>
        </w:rPr>
        <w:t xml:space="preserve">nationally </w:t>
      </w:r>
      <w:r w:rsidR="005717F4">
        <w:rPr>
          <w:szCs w:val="22"/>
        </w:rPr>
        <w:t>from</w:t>
      </w:r>
      <w:r w:rsidR="00A95A4B" w:rsidRPr="005830CE">
        <w:rPr>
          <w:szCs w:val="22"/>
        </w:rPr>
        <w:t xml:space="preserve"> autumn 202</w:t>
      </w:r>
      <w:r w:rsidR="00265DC9" w:rsidRPr="005830CE">
        <w:rPr>
          <w:szCs w:val="22"/>
        </w:rPr>
        <w:t>1, in advance of</w:t>
      </w:r>
      <w:r w:rsidR="00FC3945">
        <w:rPr>
          <w:szCs w:val="22"/>
        </w:rPr>
        <w:t xml:space="preserve"> </w:t>
      </w:r>
      <w:r w:rsidR="00265DC9" w:rsidRPr="005830CE">
        <w:rPr>
          <w:szCs w:val="22"/>
        </w:rPr>
        <w:t xml:space="preserve">introducing </w:t>
      </w:r>
      <w:r w:rsidR="002661B3" w:rsidRPr="005830CE">
        <w:rPr>
          <w:szCs w:val="22"/>
        </w:rPr>
        <w:t xml:space="preserve">Adult Disability Payment </w:t>
      </w:r>
      <w:r w:rsidR="00265DC9" w:rsidRPr="005830CE">
        <w:rPr>
          <w:szCs w:val="22"/>
        </w:rPr>
        <w:t xml:space="preserve">in </w:t>
      </w:r>
      <w:r w:rsidR="00265DC9" w:rsidRPr="005830CE">
        <w:rPr>
          <w:szCs w:val="22"/>
        </w:rPr>
        <w:lastRenderedPageBreak/>
        <w:t>summer 2022</w:t>
      </w:r>
      <w:r w:rsidR="00173523" w:rsidRPr="005830CE">
        <w:rPr>
          <w:szCs w:val="22"/>
        </w:rPr>
        <w:t>. On the face of it, that suggests that there could be young people getting CDP who reach their 18</w:t>
      </w:r>
      <w:r w:rsidR="00173523" w:rsidRPr="005830CE">
        <w:rPr>
          <w:szCs w:val="22"/>
          <w:vertAlign w:val="superscript"/>
        </w:rPr>
        <w:t>th</w:t>
      </w:r>
      <w:r w:rsidR="00173523" w:rsidRPr="005830CE">
        <w:rPr>
          <w:szCs w:val="22"/>
        </w:rPr>
        <w:t xml:space="preserve"> birthday before Adult Disability Payment is available to them. The practice currently is that </w:t>
      </w:r>
      <w:r w:rsidR="00173523" w:rsidRPr="005830CE">
        <w:rPr>
          <w:rFonts w:eastAsia="Times New Roman"/>
          <w:color w:val="333333"/>
          <w:sz w:val="27"/>
          <w:szCs w:val="27"/>
          <w:lang w:eastAsia="en-GB"/>
        </w:rPr>
        <w:t xml:space="preserve">16 to 18-year-olds can apply to the DWP for PIP until the Scottish Government launches Adult Disability Payment. </w:t>
      </w:r>
      <w:r w:rsidR="00EB2C19" w:rsidRPr="005830CE">
        <w:rPr>
          <w:szCs w:val="22"/>
        </w:rPr>
        <w:t xml:space="preserve">However, there is </w:t>
      </w:r>
      <w:r w:rsidR="00224837" w:rsidRPr="005830CE">
        <w:rPr>
          <w:szCs w:val="22"/>
        </w:rPr>
        <w:t xml:space="preserve">no provision to keep a CDP award running until </w:t>
      </w:r>
      <w:r w:rsidR="00B724CC" w:rsidRPr="005830CE">
        <w:rPr>
          <w:szCs w:val="22"/>
        </w:rPr>
        <w:t>a</w:t>
      </w:r>
      <w:r w:rsidR="00224837" w:rsidRPr="005830CE">
        <w:rPr>
          <w:szCs w:val="22"/>
        </w:rPr>
        <w:t xml:space="preserve"> PIP claim can be assessed, </w:t>
      </w:r>
      <w:r w:rsidR="00EB2C19" w:rsidRPr="005830CE">
        <w:rPr>
          <w:szCs w:val="22"/>
        </w:rPr>
        <w:t xml:space="preserve">so </w:t>
      </w:r>
      <w:r w:rsidR="00224837" w:rsidRPr="005830CE">
        <w:rPr>
          <w:szCs w:val="22"/>
        </w:rPr>
        <w:t xml:space="preserve">there may be gaps in payment for </w:t>
      </w:r>
      <w:r w:rsidR="00EB2C19" w:rsidRPr="005830CE">
        <w:rPr>
          <w:szCs w:val="22"/>
        </w:rPr>
        <w:t xml:space="preserve">these </w:t>
      </w:r>
      <w:r w:rsidR="00224837" w:rsidRPr="005830CE">
        <w:rPr>
          <w:szCs w:val="22"/>
        </w:rPr>
        <w:t>young people.</w:t>
      </w:r>
      <w:r w:rsidR="004C258F" w:rsidRPr="005830CE">
        <w:rPr>
          <w:szCs w:val="22"/>
        </w:rPr>
        <w:t xml:space="preserve"> </w:t>
      </w:r>
    </w:p>
    <w:p w:rsidR="002661B3" w:rsidRPr="005830CE" w:rsidRDefault="002661B3" w:rsidP="00C6559C">
      <w:pPr>
        <w:tabs>
          <w:tab w:val="left" w:pos="4680"/>
          <w:tab w:val="left" w:pos="5400"/>
          <w:tab w:val="right" w:pos="9000"/>
        </w:tabs>
        <w:rPr>
          <w:szCs w:val="22"/>
        </w:rPr>
      </w:pPr>
    </w:p>
    <w:p w:rsidR="00224837" w:rsidRPr="002A7FFA" w:rsidRDefault="00B724CC" w:rsidP="00C6559C">
      <w:pPr>
        <w:tabs>
          <w:tab w:val="left" w:pos="4680"/>
          <w:tab w:val="left" w:pos="5400"/>
          <w:tab w:val="right" w:pos="9000"/>
        </w:tabs>
        <w:rPr>
          <w:b/>
          <w:szCs w:val="22"/>
        </w:rPr>
      </w:pPr>
      <w:r w:rsidRPr="005830CE">
        <w:rPr>
          <w:b/>
          <w:szCs w:val="22"/>
        </w:rPr>
        <w:t>Observation</w:t>
      </w:r>
      <w:r w:rsidR="002A7FFA">
        <w:rPr>
          <w:b/>
          <w:szCs w:val="22"/>
        </w:rPr>
        <w:t xml:space="preserve"> 4</w:t>
      </w:r>
      <w:r w:rsidR="0054544F" w:rsidRPr="005830CE">
        <w:rPr>
          <w:b/>
          <w:szCs w:val="22"/>
        </w:rPr>
        <w:t xml:space="preserve">: </w:t>
      </w:r>
      <w:r w:rsidR="00244766" w:rsidRPr="005830CE">
        <w:rPr>
          <w:b/>
          <w:szCs w:val="22"/>
        </w:rPr>
        <w:t>We would welcome further information on how t</w:t>
      </w:r>
      <w:r w:rsidR="0054544F" w:rsidRPr="005830CE">
        <w:rPr>
          <w:b/>
          <w:szCs w:val="22"/>
        </w:rPr>
        <w:t xml:space="preserve">he Scottish Government </w:t>
      </w:r>
      <w:r w:rsidR="00244766" w:rsidRPr="005830CE">
        <w:rPr>
          <w:b/>
          <w:szCs w:val="22"/>
        </w:rPr>
        <w:t>plans to ensure</w:t>
      </w:r>
      <w:r w:rsidR="0054544F" w:rsidRPr="005830CE">
        <w:rPr>
          <w:b/>
          <w:szCs w:val="22"/>
        </w:rPr>
        <w:t xml:space="preserve"> that young people do not</w:t>
      </w:r>
      <w:r w:rsidR="00224837" w:rsidRPr="005830CE">
        <w:rPr>
          <w:b/>
          <w:szCs w:val="22"/>
        </w:rPr>
        <w:t xml:space="preserve"> experience a gap in payments </w:t>
      </w:r>
      <w:r w:rsidR="008A648B" w:rsidRPr="005830CE">
        <w:rPr>
          <w:b/>
          <w:szCs w:val="22"/>
        </w:rPr>
        <w:t xml:space="preserve">as they transition from CDP to </w:t>
      </w:r>
      <w:r w:rsidR="00FC3945">
        <w:rPr>
          <w:b/>
          <w:szCs w:val="22"/>
        </w:rPr>
        <w:t>an</w:t>
      </w:r>
      <w:r w:rsidR="00E90B69">
        <w:rPr>
          <w:b/>
          <w:szCs w:val="22"/>
        </w:rPr>
        <w:t xml:space="preserve"> </w:t>
      </w:r>
      <w:r w:rsidR="008A648B" w:rsidRPr="005830CE">
        <w:rPr>
          <w:b/>
          <w:szCs w:val="22"/>
        </w:rPr>
        <w:t>adult disability benefit.</w:t>
      </w:r>
    </w:p>
    <w:p w:rsidR="00C6559C" w:rsidRPr="002A7FFA" w:rsidRDefault="00C6559C" w:rsidP="00585651">
      <w:pPr>
        <w:tabs>
          <w:tab w:val="left" w:pos="4680"/>
          <w:tab w:val="left" w:pos="5400"/>
          <w:tab w:val="right" w:pos="9000"/>
        </w:tabs>
        <w:rPr>
          <w:b/>
          <w:szCs w:val="22"/>
        </w:rPr>
      </w:pPr>
    </w:p>
    <w:p w:rsidR="002A7FFA" w:rsidRPr="002A7FFA" w:rsidRDefault="002A7FFA" w:rsidP="00585651">
      <w:pPr>
        <w:tabs>
          <w:tab w:val="left" w:pos="4680"/>
          <w:tab w:val="left" w:pos="5400"/>
          <w:tab w:val="right" w:pos="9000"/>
        </w:tabs>
        <w:rPr>
          <w:b/>
          <w:szCs w:val="22"/>
        </w:rPr>
      </w:pPr>
    </w:p>
    <w:p w:rsidR="002A7FFA" w:rsidRPr="002A7FFA" w:rsidRDefault="002A7FFA">
      <w:pPr>
        <w:autoSpaceDE/>
        <w:autoSpaceDN/>
        <w:adjustRightInd/>
        <w:spacing w:after="160" w:line="259" w:lineRule="auto"/>
        <w:rPr>
          <w:b/>
          <w:szCs w:val="22"/>
        </w:rPr>
      </w:pPr>
      <w:r w:rsidRPr="002A7FFA">
        <w:rPr>
          <w:b/>
          <w:szCs w:val="22"/>
        </w:rPr>
        <w:br w:type="page"/>
      </w:r>
    </w:p>
    <w:p w:rsidR="002A7FFA" w:rsidRPr="002A7FFA" w:rsidRDefault="002A7FFA" w:rsidP="002A7FFA">
      <w:pPr>
        <w:pStyle w:val="Heading1"/>
        <w:rPr>
          <w:b/>
          <w:sz w:val="32"/>
        </w:rPr>
      </w:pPr>
      <w:bookmarkStart w:id="23" w:name="_Toc59010249"/>
      <w:r w:rsidRPr="002A7FFA">
        <w:rPr>
          <w:b/>
          <w:sz w:val="32"/>
        </w:rPr>
        <w:lastRenderedPageBreak/>
        <w:t>Annex</w:t>
      </w:r>
      <w:bookmarkEnd w:id="23"/>
    </w:p>
    <w:p w:rsidR="002A7FFA" w:rsidRPr="002A7FFA" w:rsidRDefault="002A7FFA" w:rsidP="002A7FFA">
      <w:pPr>
        <w:rPr>
          <w:b/>
        </w:rPr>
      </w:pPr>
      <w:r w:rsidRPr="002A7FFA">
        <w:rPr>
          <w:b/>
        </w:rPr>
        <w:t>Draft scrutiny timetable</w:t>
      </w:r>
    </w:p>
    <w:p w:rsidR="002A7FFA" w:rsidRPr="002A7FFA" w:rsidRDefault="002A7FFA" w:rsidP="002A7FFA">
      <w:pPr>
        <w:autoSpaceDE/>
        <w:autoSpaceDN/>
        <w:adjustRightInd/>
        <w:rPr>
          <w:rFonts w:eastAsia="Times New Roman" w:cs="Times New Roman"/>
        </w:rPr>
      </w:pPr>
    </w:p>
    <w:p w:rsidR="002A7FFA" w:rsidRPr="002A7FFA" w:rsidRDefault="002A7FFA" w:rsidP="002A7FFA">
      <w:pPr>
        <w:autoSpaceDE/>
        <w:autoSpaceDN/>
        <w:adjustRightInd/>
        <w:rPr>
          <w:rFonts w:eastAsia="Times New Roman" w:cs="Times New Roman"/>
        </w:rPr>
      </w:pPr>
      <w:r w:rsidRPr="002A7FFA">
        <w:rPr>
          <w:rFonts w:eastAsia="Times New Roman" w:cs="Times New Roman"/>
        </w:rPr>
        <w:t>30 September 2020: SCoSS Board meeting: Briefing from Scottish Government official on related policy issues</w:t>
      </w:r>
    </w:p>
    <w:p w:rsidR="002A7FFA" w:rsidRPr="002A7FFA" w:rsidRDefault="002A7FFA" w:rsidP="002A7FFA">
      <w:pPr>
        <w:autoSpaceDE/>
        <w:autoSpaceDN/>
        <w:adjustRightInd/>
        <w:rPr>
          <w:rFonts w:eastAsia="Times New Roman" w:cs="Times New Roman"/>
        </w:rPr>
      </w:pPr>
    </w:p>
    <w:p w:rsidR="002A7FFA" w:rsidRPr="002A7FFA" w:rsidRDefault="002A7FFA" w:rsidP="002A7FFA">
      <w:pPr>
        <w:autoSpaceDE/>
        <w:autoSpaceDN/>
        <w:adjustRightInd/>
        <w:rPr>
          <w:rFonts w:eastAsia="Times New Roman" w:cs="Times New Roman"/>
        </w:rPr>
      </w:pPr>
      <w:r w:rsidRPr="002A7FFA">
        <w:rPr>
          <w:rFonts w:eastAsia="Times New Roman" w:cs="Times New Roman"/>
        </w:rPr>
        <w:t>29 October 2020: Draft Regulations referred to SCoSS by the Cabinet Secretary for Social Security and Older People</w:t>
      </w:r>
    </w:p>
    <w:p w:rsidR="002A7FFA" w:rsidRPr="002A7FFA" w:rsidRDefault="002A7FFA" w:rsidP="002A7FFA">
      <w:pPr>
        <w:autoSpaceDE/>
        <w:autoSpaceDN/>
        <w:adjustRightInd/>
        <w:rPr>
          <w:rFonts w:eastAsia="Times New Roman" w:cs="Times New Roman"/>
        </w:rPr>
      </w:pPr>
    </w:p>
    <w:p w:rsidR="002A7FFA" w:rsidRPr="002A7FFA" w:rsidRDefault="002A7FFA" w:rsidP="002A7FFA">
      <w:pPr>
        <w:autoSpaceDE/>
        <w:autoSpaceDN/>
        <w:adjustRightInd/>
        <w:rPr>
          <w:rFonts w:eastAsia="Times New Roman" w:cs="Times New Roman"/>
        </w:rPr>
      </w:pPr>
      <w:r w:rsidRPr="002A7FFA">
        <w:rPr>
          <w:rFonts w:eastAsia="Times New Roman" w:cs="Times New Roman"/>
        </w:rPr>
        <w:t>29 October 2020: SCoSS Board meeting: Briefing from Scottish Government official on the draft regulations</w:t>
      </w:r>
    </w:p>
    <w:p w:rsidR="002A7FFA" w:rsidRPr="002A7FFA" w:rsidRDefault="002A7FFA" w:rsidP="002A7FFA">
      <w:pPr>
        <w:autoSpaceDE/>
        <w:autoSpaceDN/>
        <w:adjustRightInd/>
        <w:rPr>
          <w:rFonts w:eastAsia="Times New Roman" w:cs="Times New Roman"/>
        </w:rPr>
      </w:pPr>
    </w:p>
    <w:p w:rsidR="002A7FFA" w:rsidRPr="002A7FFA" w:rsidRDefault="002A7FFA" w:rsidP="002A7FFA">
      <w:pPr>
        <w:autoSpaceDE/>
        <w:autoSpaceDN/>
        <w:adjustRightInd/>
        <w:rPr>
          <w:rFonts w:eastAsia="Times New Roman" w:cs="Times New Roman"/>
        </w:rPr>
      </w:pPr>
      <w:r w:rsidRPr="002A7FFA">
        <w:rPr>
          <w:rFonts w:eastAsia="Times New Roman" w:cs="Times New Roman"/>
        </w:rPr>
        <w:t>2 November 2020: SCoSS requested written submissio</w:t>
      </w:r>
      <w:r w:rsidR="008A7E88">
        <w:rPr>
          <w:rFonts w:eastAsia="Times New Roman" w:cs="Times New Roman"/>
        </w:rPr>
        <w:t>ns from s</w:t>
      </w:r>
      <w:r w:rsidRPr="002A7FFA">
        <w:rPr>
          <w:rFonts w:eastAsia="Times New Roman" w:cs="Times New Roman"/>
        </w:rPr>
        <w:t>takeholders</w:t>
      </w:r>
    </w:p>
    <w:p w:rsidR="002A7FFA" w:rsidRPr="002A7FFA" w:rsidRDefault="002A7FFA" w:rsidP="002A7FFA">
      <w:pPr>
        <w:autoSpaceDE/>
        <w:autoSpaceDN/>
        <w:adjustRightInd/>
        <w:rPr>
          <w:rFonts w:eastAsia="Times New Roman" w:cs="Times New Roman"/>
        </w:rPr>
      </w:pPr>
    </w:p>
    <w:p w:rsidR="002A7FFA" w:rsidRPr="002A7FFA" w:rsidRDefault="002A7FFA" w:rsidP="002A7FFA">
      <w:pPr>
        <w:autoSpaceDE/>
        <w:autoSpaceDN/>
        <w:adjustRightInd/>
        <w:rPr>
          <w:rFonts w:eastAsia="Times New Roman" w:cs="Times New Roman"/>
        </w:rPr>
      </w:pPr>
      <w:r w:rsidRPr="002A7FFA">
        <w:rPr>
          <w:rFonts w:eastAsia="Times New Roman" w:cs="Times New Roman"/>
        </w:rPr>
        <w:t xml:space="preserve">1 </w:t>
      </w:r>
      <w:r w:rsidR="008A7E88">
        <w:rPr>
          <w:rFonts w:eastAsia="Times New Roman" w:cs="Times New Roman"/>
        </w:rPr>
        <w:t>December 2020: SCoSS published s</w:t>
      </w:r>
      <w:r w:rsidRPr="002A7FFA">
        <w:rPr>
          <w:rFonts w:eastAsia="Times New Roman" w:cs="Times New Roman"/>
        </w:rPr>
        <w:t>takeholder</w:t>
      </w:r>
      <w:r w:rsidR="008A7E88">
        <w:rPr>
          <w:rFonts w:eastAsia="Times New Roman" w:cs="Times New Roman"/>
        </w:rPr>
        <w:t>s’</w:t>
      </w:r>
      <w:r w:rsidRPr="002A7FFA">
        <w:rPr>
          <w:rFonts w:eastAsia="Times New Roman" w:cs="Times New Roman"/>
        </w:rPr>
        <w:t xml:space="preserve"> submissions  </w:t>
      </w:r>
    </w:p>
    <w:p w:rsidR="002A7FFA" w:rsidRPr="005830CE" w:rsidRDefault="002A7FFA" w:rsidP="00585651">
      <w:pPr>
        <w:tabs>
          <w:tab w:val="left" w:pos="4680"/>
          <w:tab w:val="left" w:pos="5400"/>
          <w:tab w:val="right" w:pos="9000"/>
        </w:tabs>
        <w:rPr>
          <w:szCs w:val="22"/>
        </w:rPr>
      </w:pPr>
    </w:p>
    <w:sectPr w:rsidR="002A7FFA" w:rsidRPr="005830C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7C" w:rsidRDefault="00B3377C" w:rsidP="000977F0">
      <w:r>
        <w:separator/>
      </w:r>
    </w:p>
  </w:endnote>
  <w:endnote w:type="continuationSeparator" w:id="0">
    <w:p w:rsidR="00B3377C" w:rsidRDefault="00B3377C" w:rsidP="0009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051447"/>
      <w:docPartObj>
        <w:docPartGallery w:val="Page Numbers (Bottom of Page)"/>
        <w:docPartUnique/>
      </w:docPartObj>
    </w:sdtPr>
    <w:sdtEndPr>
      <w:rPr>
        <w:noProof/>
      </w:rPr>
    </w:sdtEndPr>
    <w:sdtContent>
      <w:p w:rsidR="00DE7199" w:rsidRDefault="00DE7199">
        <w:pPr>
          <w:pStyle w:val="Footer"/>
          <w:jc w:val="center"/>
        </w:pPr>
        <w:r>
          <w:fldChar w:fldCharType="begin"/>
        </w:r>
        <w:r>
          <w:instrText xml:space="preserve"> PAGE   \* MERGEFORMAT </w:instrText>
        </w:r>
        <w:r>
          <w:fldChar w:fldCharType="separate"/>
        </w:r>
        <w:r w:rsidR="00EC5547">
          <w:rPr>
            <w:noProof/>
          </w:rPr>
          <w:t>21</w:t>
        </w:r>
        <w:r>
          <w:rPr>
            <w:noProof/>
          </w:rPr>
          <w:fldChar w:fldCharType="end"/>
        </w:r>
      </w:p>
    </w:sdtContent>
  </w:sdt>
  <w:p w:rsidR="00DE7199" w:rsidRDefault="00DE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7C" w:rsidRDefault="00B3377C" w:rsidP="000977F0">
      <w:r>
        <w:separator/>
      </w:r>
    </w:p>
  </w:footnote>
  <w:footnote w:type="continuationSeparator" w:id="0">
    <w:p w:rsidR="00B3377C" w:rsidRDefault="00B3377C" w:rsidP="000977F0">
      <w:r>
        <w:continuationSeparator/>
      </w:r>
    </w:p>
  </w:footnote>
  <w:footnote w:id="1">
    <w:p w:rsidR="001E6990" w:rsidRDefault="001E6990">
      <w:pPr>
        <w:pStyle w:val="FootnoteText"/>
      </w:pPr>
      <w:r>
        <w:rPr>
          <w:rStyle w:val="FootnoteReference"/>
        </w:rPr>
        <w:footnoteRef/>
      </w:r>
      <w:r>
        <w:t xml:space="preserve"> </w:t>
      </w:r>
      <w:hyperlink r:id="rId1" w:history="1">
        <w:r w:rsidRPr="001E6990">
          <w:rPr>
            <w:rStyle w:val="Hyperlink"/>
            <w:rFonts w:ascii="Arial" w:hAnsi="Arial" w:cs="Arial"/>
          </w:rPr>
          <w:t>The Disability Assistance for Children and Young People (Scotland) Regulations 2021 (www.gov.scot)</w:t>
        </w:r>
      </w:hyperlink>
    </w:p>
  </w:footnote>
  <w:footnote w:id="2">
    <w:p w:rsidR="00DE7199" w:rsidRPr="005830CE" w:rsidRDefault="00DE7199">
      <w:pPr>
        <w:pStyle w:val="FootnoteText"/>
        <w:rPr>
          <w:rFonts w:ascii="Arial" w:hAnsi="Arial" w:cs="Arial"/>
        </w:rPr>
      </w:pPr>
      <w:r w:rsidRPr="005830CE">
        <w:rPr>
          <w:rStyle w:val="FootnoteReference"/>
          <w:rFonts w:ascii="Arial" w:hAnsi="Arial" w:cs="Arial"/>
        </w:rPr>
        <w:footnoteRef/>
      </w:r>
      <w:r w:rsidRPr="005830CE">
        <w:rPr>
          <w:rFonts w:ascii="Arial" w:hAnsi="Arial" w:cs="Arial"/>
        </w:rPr>
        <w:t xml:space="preserve"> </w:t>
      </w:r>
      <w:hyperlink r:id="rId2" w:history="1">
        <w:r w:rsidRPr="005830CE">
          <w:rPr>
            <w:rStyle w:val="Hyperlink"/>
            <w:rFonts w:ascii="Arial" w:hAnsi="Arial" w:cs="Arial"/>
          </w:rPr>
          <w:t>FINAL+SCoSS+Report+on+the+draft+DACYP+%28S%29+Regs+2020.pdf (www.gov.scot)</w:t>
        </w:r>
      </w:hyperlink>
      <w:r w:rsidRPr="005830CE">
        <w:rPr>
          <w:rFonts w:ascii="Arial" w:hAnsi="Arial" w:cs="Arial"/>
        </w:rPr>
        <w:t xml:space="preserve"> </w:t>
      </w:r>
    </w:p>
  </w:footnote>
  <w:footnote w:id="3">
    <w:p w:rsidR="00DE7199" w:rsidRPr="005830CE" w:rsidRDefault="00DE7199">
      <w:pPr>
        <w:pStyle w:val="FootnoteText"/>
        <w:rPr>
          <w:rFonts w:ascii="Arial" w:hAnsi="Arial" w:cs="Arial"/>
        </w:rPr>
      </w:pPr>
      <w:r w:rsidRPr="005830CE">
        <w:rPr>
          <w:rStyle w:val="FootnoteReference"/>
          <w:rFonts w:ascii="Arial" w:hAnsi="Arial" w:cs="Arial"/>
        </w:rPr>
        <w:footnoteRef/>
      </w:r>
      <w:r w:rsidRPr="005830CE">
        <w:rPr>
          <w:rFonts w:ascii="Arial" w:hAnsi="Arial" w:cs="Arial"/>
        </w:rPr>
        <w:t xml:space="preserve"> </w:t>
      </w:r>
      <w:hyperlink r:id="rId3" w:history="1">
        <w:r w:rsidRPr="005830CE">
          <w:rPr>
            <w:rStyle w:val="Hyperlink"/>
            <w:rFonts w:ascii="Arial" w:hAnsi="Arial" w:cs="Arial"/>
          </w:rPr>
          <w:t>SI/SR Template (www.gov.scot)</w:t>
        </w:r>
      </w:hyperlink>
      <w:r w:rsidRPr="005830CE">
        <w:rPr>
          <w:rFonts w:ascii="Arial" w:hAnsi="Arial" w:cs="Arial"/>
        </w:rPr>
        <w:t xml:space="preserve"> </w:t>
      </w:r>
    </w:p>
  </w:footnote>
  <w:footnote w:id="4">
    <w:p w:rsidR="00DE7199" w:rsidRPr="005830CE" w:rsidRDefault="00DE7199">
      <w:pPr>
        <w:pStyle w:val="FootnoteText"/>
        <w:rPr>
          <w:rFonts w:ascii="Arial" w:hAnsi="Arial" w:cs="Arial"/>
        </w:rPr>
      </w:pPr>
      <w:r w:rsidRPr="005830CE">
        <w:rPr>
          <w:rStyle w:val="FootnoteReference"/>
          <w:rFonts w:ascii="Arial" w:hAnsi="Arial" w:cs="Arial"/>
        </w:rPr>
        <w:footnoteRef/>
      </w:r>
      <w:r w:rsidR="00FC3945">
        <w:rPr>
          <w:rFonts w:ascii="Arial" w:hAnsi="Arial" w:cs="Arial"/>
        </w:rPr>
        <w:t xml:space="preserve"> </w:t>
      </w:r>
      <w:hyperlink r:id="rId4" w:history="1">
        <w:r w:rsidRPr="005830CE">
          <w:rPr>
            <w:rStyle w:val="Hyperlink"/>
            <w:rFonts w:ascii="Arial" w:hAnsi="Arial" w:cs="Arial"/>
          </w:rPr>
          <w:t>Cabinet Secretary for Health and Wellbeing.dot (www.gov.scot)</w:t>
        </w:r>
      </w:hyperlink>
      <w:r w:rsidRPr="005830CE">
        <w:rPr>
          <w:rFonts w:ascii="Arial" w:hAnsi="Arial" w:cs="Arial"/>
        </w:rPr>
        <w:t xml:space="preserve"> </w:t>
      </w:r>
    </w:p>
  </w:footnote>
  <w:footnote w:id="5">
    <w:p w:rsidR="00DE7199" w:rsidRPr="00EC5547" w:rsidRDefault="00DE7199">
      <w:pPr>
        <w:pStyle w:val="FootnoteText"/>
        <w:rPr>
          <w:rFonts w:ascii="Arial" w:hAnsi="Arial" w:cs="Arial"/>
        </w:rPr>
      </w:pPr>
      <w:r w:rsidRPr="00EC5547">
        <w:rPr>
          <w:rStyle w:val="FootnoteReference"/>
          <w:rFonts w:ascii="Arial" w:hAnsi="Arial" w:cs="Arial"/>
        </w:rPr>
        <w:footnoteRef/>
      </w:r>
      <w:r w:rsidRPr="00EC5547">
        <w:rPr>
          <w:rFonts w:ascii="Arial" w:hAnsi="Arial" w:cs="Arial"/>
        </w:rPr>
        <w:t xml:space="preserve"> In accordance with section 97(4) of the Social Security (Scotland) Act.</w:t>
      </w:r>
    </w:p>
  </w:footnote>
  <w:footnote w:id="6">
    <w:p w:rsidR="00DE7199" w:rsidRPr="00EC5547" w:rsidRDefault="00DE7199">
      <w:pPr>
        <w:pStyle w:val="FootnoteText"/>
        <w:rPr>
          <w:rFonts w:ascii="Arial" w:hAnsi="Arial" w:cs="Arial"/>
        </w:rPr>
      </w:pPr>
      <w:r w:rsidRPr="00EC5547">
        <w:rPr>
          <w:rStyle w:val="FootnoteReference"/>
          <w:rFonts w:ascii="Arial" w:hAnsi="Arial" w:cs="Arial"/>
        </w:rPr>
        <w:footnoteRef/>
      </w:r>
      <w:r w:rsidRPr="00EC5547">
        <w:rPr>
          <w:rFonts w:ascii="Arial" w:hAnsi="Arial" w:cs="Arial"/>
        </w:rPr>
        <w:t xml:space="preserve"> Since SCoSS reported on the original draft regulations, the Scottish Parliament has passed the Social Security Administration and Tribunal Membership (Scotland) Act 2020, while the United Nations Convention on the Rights of the Child (Incorporation) (Scotland) Bill is at stage 1 of the parliamentary scrutiny process.</w:t>
      </w:r>
    </w:p>
  </w:footnote>
  <w:footnote w:id="7">
    <w:p w:rsidR="00DE7199" w:rsidRPr="00EC5547" w:rsidRDefault="00DE7199">
      <w:pPr>
        <w:pStyle w:val="FootnoteText"/>
        <w:rPr>
          <w:rFonts w:ascii="Arial" w:hAnsi="Arial" w:cs="Arial"/>
        </w:rPr>
      </w:pPr>
      <w:r w:rsidRPr="00EC5547">
        <w:rPr>
          <w:rStyle w:val="FootnoteReference"/>
          <w:rFonts w:ascii="Arial" w:hAnsi="Arial" w:cs="Arial"/>
        </w:rPr>
        <w:footnoteRef/>
      </w:r>
      <w:r w:rsidRPr="00EC5547">
        <w:rPr>
          <w:rFonts w:ascii="Arial" w:hAnsi="Arial" w:cs="Arial"/>
        </w:rPr>
        <w:t xml:space="preserve"> </w:t>
      </w:r>
      <w:hyperlink r:id="rId5" w:history="1">
        <w:r w:rsidRPr="00EC5547">
          <w:rPr>
            <w:rStyle w:val="Hyperlink"/>
            <w:rFonts w:ascii="Arial" w:hAnsi="Arial" w:cs="Arial"/>
          </w:rPr>
          <w:t>2020+November+19+-+Written+subs+collated.pdf (www.gov.scot)</w:t>
        </w:r>
      </w:hyperlink>
      <w:r w:rsidRPr="00EC5547">
        <w:rPr>
          <w:rFonts w:ascii="Arial" w:hAnsi="Arial" w:cs="Arial"/>
        </w:rPr>
        <w:t xml:space="preserve"> </w:t>
      </w:r>
    </w:p>
  </w:footnote>
  <w:footnote w:id="8">
    <w:p w:rsidR="00DE7199" w:rsidRPr="00EC5547" w:rsidRDefault="00DE7199">
      <w:pPr>
        <w:pStyle w:val="FootnoteText"/>
        <w:rPr>
          <w:rFonts w:ascii="Arial" w:hAnsi="Arial" w:cs="Arial"/>
          <w:lang w:val="en-US"/>
        </w:rPr>
      </w:pPr>
      <w:r w:rsidRPr="00EC5547">
        <w:rPr>
          <w:rStyle w:val="FootnoteReference"/>
          <w:rFonts w:ascii="Arial" w:hAnsi="Arial" w:cs="Arial"/>
        </w:rPr>
        <w:footnoteRef/>
      </w:r>
      <w:r w:rsidRPr="00EC5547">
        <w:rPr>
          <w:rFonts w:ascii="Arial" w:hAnsi="Arial" w:cs="Arial"/>
        </w:rPr>
        <w:t xml:space="preserve"> </w:t>
      </w:r>
      <w:r w:rsidRPr="00EC5547">
        <w:rPr>
          <w:rFonts w:ascii="Arial" w:hAnsi="Arial" w:cs="Arial"/>
          <w:lang w:val="en-US"/>
        </w:rPr>
        <w:t>For example Best Start Grant, Scottish Child Payment</w:t>
      </w:r>
      <w:r w:rsidR="00FC3945" w:rsidRPr="00EC5547">
        <w:rPr>
          <w:rFonts w:ascii="Arial" w:hAnsi="Arial" w:cs="Arial"/>
          <w:lang w:val="en-US"/>
        </w:rPr>
        <w:t>.</w:t>
      </w:r>
    </w:p>
  </w:footnote>
  <w:footnote w:id="9">
    <w:p w:rsidR="00DE7199" w:rsidRPr="00FC3945" w:rsidRDefault="00DE7199">
      <w:pPr>
        <w:pStyle w:val="FootnoteText"/>
        <w:rPr>
          <w:rFonts w:ascii="Arial" w:hAnsi="Arial" w:cs="Arial"/>
        </w:rPr>
      </w:pPr>
      <w:r w:rsidRPr="00EC5547">
        <w:rPr>
          <w:rStyle w:val="FootnoteReference"/>
          <w:rFonts w:ascii="Arial" w:hAnsi="Arial" w:cs="Arial"/>
        </w:rPr>
        <w:footnoteRef/>
      </w:r>
      <w:r w:rsidRPr="00EC5547">
        <w:rPr>
          <w:rFonts w:ascii="Arial" w:hAnsi="Arial" w:cs="Arial"/>
        </w:rPr>
        <w:t xml:space="preserve"> </w:t>
      </w:r>
      <w:hyperlink r:id="rId6" w:history="1">
        <w:r w:rsidRPr="00EC5547">
          <w:rPr>
            <w:rStyle w:val="Hyperlink"/>
            <w:rFonts w:ascii="Arial" w:hAnsi="Arial" w:cs="Arial"/>
          </w:rPr>
          <w:t>Social Security Scotland: our charter - gov.scot (www.gov.scot)</w:t>
        </w:r>
      </w:hyperlink>
      <w:r w:rsidRPr="00EC5547">
        <w:rPr>
          <w:rFonts w:ascii="Arial" w:hAnsi="Arial" w:cs="Arial"/>
        </w:rPr>
        <w:t>: ‘Processes that work’, commitments 1 and 2.</w:t>
      </w:r>
      <w:r w:rsidRPr="00FC3945">
        <w:rPr>
          <w:rFonts w:ascii="Arial" w:hAnsi="Arial" w:cs="Arial"/>
        </w:rPr>
        <w:t xml:space="preserve"> </w:t>
      </w:r>
    </w:p>
  </w:footnote>
  <w:footnote w:id="10">
    <w:p w:rsidR="00143653" w:rsidRPr="00534103" w:rsidRDefault="00143653">
      <w:pPr>
        <w:pStyle w:val="FootnoteText"/>
        <w:rPr>
          <w:lang w:val="en-US"/>
        </w:rPr>
      </w:pPr>
      <w:r w:rsidRPr="00FC3945">
        <w:rPr>
          <w:rStyle w:val="FootnoteReference"/>
          <w:rFonts w:ascii="Arial" w:hAnsi="Arial" w:cs="Arial"/>
        </w:rPr>
        <w:footnoteRef/>
      </w:r>
      <w:r w:rsidRPr="00FC3945">
        <w:rPr>
          <w:rFonts w:ascii="Arial" w:hAnsi="Arial" w:cs="Arial"/>
        </w:rPr>
        <w:t xml:space="preserve"> </w:t>
      </w:r>
      <w:r w:rsidRPr="00FC3945">
        <w:rPr>
          <w:rFonts w:ascii="Arial" w:hAnsi="Arial" w:cs="Arial"/>
          <w:lang w:val="en-US"/>
        </w:rPr>
        <w:t>Paragraph 6.3</w:t>
      </w:r>
      <w:r w:rsidR="00FB448C" w:rsidRPr="00FC3945">
        <w:rPr>
          <w:rFonts w:ascii="Arial" w:hAnsi="Arial" w:cs="Arial"/>
          <w:lang w:val="en-US"/>
        </w:rPr>
        <w:t xml:space="preserve"> of our original report</w:t>
      </w:r>
      <w:r w:rsidR="001E6990" w:rsidRPr="00FC3945">
        <w:rPr>
          <w:rFonts w:ascii="Arial" w:hAnsi="Arial" w:cs="Arial"/>
          <w:lang w:val="en-US"/>
        </w:rPr>
        <w:t>:</w:t>
      </w:r>
      <w:r w:rsidR="00FC3945" w:rsidRPr="00FC3945">
        <w:rPr>
          <w:rFonts w:ascii="Arial" w:hAnsi="Arial" w:cs="Arial"/>
          <w:lang w:val="en-US"/>
        </w:rPr>
        <w:t xml:space="preserve"> </w:t>
      </w:r>
      <w:r w:rsidR="001E6990" w:rsidRPr="00FC3945">
        <w:rPr>
          <w:rFonts w:ascii="Arial" w:hAnsi="Arial" w:cs="Arial"/>
          <w:lang w:val="en-US"/>
        </w:rPr>
        <w:t xml:space="preserve"> https://www.gov.scot/publications/the-disability-assistance-for-children-and-young-people-scotland-regulations-2020-scrutiny-report-on-draft-regulations/</w:t>
      </w:r>
    </w:p>
  </w:footnote>
  <w:footnote w:id="11">
    <w:p w:rsidR="00DE7199" w:rsidRPr="005830CE" w:rsidRDefault="00DE7199">
      <w:pPr>
        <w:pStyle w:val="FootnoteText"/>
        <w:rPr>
          <w:rFonts w:ascii="Arial" w:hAnsi="Arial" w:cs="Arial"/>
        </w:rPr>
      </w:pPr>
      <w:r w:rsidRPr="005830CE">
        <w:rPr>
          <w:rStyle w:val="FootnoteReference"/>
          <w:rFonts w:ascii="Arial" w:hAnsi="Arial" w:cs="Arial"/>
        </w:rPr>
        <w:footnoteRef/>
      </w:r>
      <w:r w:rsidRPr="005830CE">
        <w:rPr>
          <w:rFonts w:ascii="Arial" w:hAnsi="Arial" w:cs="Arial"/>
        </w:rPr>
        <w:t xml:space="preserve"> The RNIB </w:t>
      </w:r>
      <w:r w:rsidR="00FC3945">
        <w:rPr>
          <w:rFonts w:ascii="Arial" w:hAnsi="Arial" w:cs="Arial"/>
        </w:rPr>
        <w:t xml:space="preserve">Scotland </w:t>
      </w:r>
      <w:r w:rsidRPr="005830CE">
        <w:rPr>
          <w:rFonts w:ascii="Arial" w:hAnsi="Arial" w:cs="Arial"/>
        </w:rPr>
        <w:t xml:space="preserve">written submission to SCoSS is available </w:t>
      </w:r>
      <w:hyperlink r:id="rId7" w:history="1">
        <w:r w:rsidRPr="005830CE">
          <w:rPr>
            <w:rStyle w:val="Hyperlink"/>
            <w:rFonts w:ascii="Arial" w:hAnsi="Arial" w:cs="Arial"/>
          </w:rPr>
          <w:t>here</w:t>
        </w:r>
      </w:hyperlink>
      <w:r w:rsidRPr="005830CE">
        <w:rPr>
          <w:rFonts w:ascii="Arial" w:hAnsi="Arial" w:cs="Arial"/>
        </w:rPr>
        <w:t>.</w:t>
      </w:r>
    </w:p>
  </w:footnote>
  <w:footnote w:id="12">
    <w:p w:rsidR="00DE7199" w:rsidRPr="005830CE" w:rsidRDefault="00DE7199">
      <w:pPr>
        <w:pStyle w:val="FootnoteText"/>
        <w:rPr>
          <w:rFonts w:ascii="Arial" w:hAnsi="Arial" w:cs="Arial"/>
          <w:lang w:val="en-US"/>
        </w:rPr>
      </w:pPr>
      <w:r w:rsidRPr="005830CE">
        <w:rPr>
          <w:rStyle w:val="FootnoteReference"/>
          <w:rFonts w:ascii="Arial" w:hAnsi="Arial" w:cs="Arial"/>
        </w:rPr>
        <w:footnoteRef/>
      </w:r>
      <w:r w:rsidRPr="005830CE">
        <w:rPr>
          <w:rFonts w:ascii="Arial" w:hAnsi="Arial" w:cs="Arial"/>
        </w:rPr>
        <w:t xml:space="preserve"> </w:t>
      </w:r>
      <w:hyperlink r:id="rId8" w:history="1">
        <w:proofErr w:type="spellStart"/>
        <w:r w:rsidRPr="005830CE">
          <w:rPr>
            <w:rStyle w:val="Hyperlink"/>
            <w:rFonts w:ascii="Arial" w:hAnsi="Arial" w:cs="Arial"/>
          </w:rPr>
          <w:t>NMCN</w:t>
        </w:r>
        <w:proofErr w:type="spellEnd"/>
        <w:r w:rsidRPr="005830CE">
          <w:rPr>
            <w:rStyle w:val="Hyperlink"/>
            <w:rFonts w:ascii="Arial" w:hAnsi="Arial" w:cs="Arial"/>
          </w:rPr>
          <w:t xml:space="preserve"> Annual Report (scot.nhs.uk)</w:t>
        </w:r>
      </w:hyperlink>
    </w:p>
  </w:footnote>
  <w:footnote w:id="13">
    <w:p w:rsidR="00DE7199" w:rsidRPr="00FC3945" w:rsidRDefault="00DE7199">
      <w:pPr>
        <w:pStyle w:val="FootnoteText"/>
        <w:rPr>
          <w:rFonts w:ascii="Arial" w:hAnsi="Arial" w:cs="Arial"/>
          <w:lang w:val="en-US"/>
        </w:rPr>
      </w:pPr>
      <w:r>
        <w:rPr>
          <w:rStyle w:val="FootnoteReference"/>
        </w:rPr>
        <w:footnoteRef/>
      </w:r>
      <w:r>
        <w:t xml:space="preserve"> </w:t>
      </w:r>
      <w:r w:rsidRPr="00FC3945">
        <w:rPr>
          <w:rFonts w:ascii="Arial" w:hAnsi="Arial" w:cs="Arial"/>
        </w:rPr>
        <w:t>https://www.gov.scot/publications/social-security-scotland-act-2019-benefit-take-up-strategy-october-2019/pages/1/</w:t>
      </w:r>
    </w:p>
  </w:footnote>
  <w:footnote w:id="14">
    <w:p w:rsidR="00DE7199" w:rsidRPr="005830CE" w:rsidRDefault="00DE7199">
      <w:pPr>
        <w:pStyle w:val="FootnoteText"/>
        <w:rPr>
          <w:rFonts w:ascii="Arial" w:hAnsi="Arial" w:cs="Arial"/>
          <w:lang w:val="en-US"/>
        </w:rPr>
      </w:pPr>
      <w:r w:rsidRPr="00FC3945">
        <w:rPr>
          <w:rStyle w:val="FootnoteReference"/>
          <w:rFonts w:ascii="Arial" w:hAnsi="Arial" w:cs="Arial"/>
        </w:rPr>
        <w:footnoteRef/>
      </w:r>
      <w:r w:rsidRPr="00FC3945">
        <w:rPr>
          <w:rFonts w:ascii="Arial" w:hAnsi="Arial" w:cs="Arial"/>
        </w:rPr>
        <w:t xml:space="preserve"> https://www.vincyp.scot.nhs.uk/wp-content/uploads/2019/11/2019-09-20-VINCYP-standards-v3.pdf</w:t>
      </w:r>
    </w:p>
  </w:footnote>
  <w:footnote w:id="15">
    <w:p w:rsidR="00DE7199" w:rsidRPr="005830CE" w:rsidRDefault="00DE7199">
      <w:pPr>
        <w:pStyle w:val="FootnoteText"/>
        <w:rPr>
          <w:rFonts w:ascii="Arial" w:hAnsi="Arial" w:cs="Arial"/>
        </w:rPr>
      </w:pPr>
      <w:r w:rsidRPr="005830CE">
        <w:rPr>
          <w:rStyle w:val="FootnoteReference"/>
          <w:rFonts w:ascii="Arial" w:hAnsi="Arial" w:cs="Arial"/>
        </w:rPr>
        <w:footnoteRef/>
      </w:r>
      <w:r w:rsidRPr="005830CE">
        <w:rPr>
          <w:rFonts w:ascii="Arial" w:hAnsi="Arial" w:cs="Arial"/>
        </w:rPr>
        <w:t xml:space="preserve"> Recommendation 21 of our </w:t>
      </w:r>
      <w:hyperlink r:id="rId9" w:history="1">
        <w:r w:rsidRPr="005830CE">
          <w:rPr>
            <w:rStyle w:val="Hyperlink"/>
            <w:rFonts w:ascii="Arial" w:hAnsi="Arial" w:cs="Arial"/>
          </w:rPr>
          <w:t>original report</w:t>
        </w:r>
      </w:hyperlink>
      <w:r w:rsidRPr="005830CE">
        <w:rPr>
          <w:rFonts w:ascii="Arial" w:hAnsi="Arial" w:cs="Arial"/>
        </w:rPr>
        <w:t>.</w:t>
      </w:r>
    </w:p>
  </w:footnote>
  <w:footnote w:id="16">
    <w:p w:rsidR="00DE7199" w:rsidRPr="00492CF8" w:rsidRDefault="00DE7199" w:rsidP="00492CF8">
      <w:pPr>
        <w:pStyle w:val="FootnoteText"/>
        <w:rPr>
          <w:rFonts w:ascii="Arial" w:hAnsi="Arial" w:cs="Arial"/>
        </w:rPr>
      </w:pPr>
      <w:r w:rsidRPr="00492CF8">
        <w:rPr>
          <w:rStyle w:val="FootnoteReference"/>
          <w:rFonts w:ascii="Arial" w:hAnsi="Arial" w:cs="Arial"/>
        </w:rPr>
        <w:footnoteRef/>
      </w:r>
      <w:r w:rsidRPr="00492CF8">
        <w:rPr>
          <w:rFonts w:ascii="Arial" w:hAnsi="Arial" w:cs="Arial"/>
        </w:rPr>
        <w:t xml:space="preserve"> The written submissions to SCoSS from the Child Poverty Action Group in Scotland and Citizens Advice Scotland are available </w:t>
      </w:r>
      <w:hyperlink r:id="rId10" w:history="1">
        <w:r w:rsidRPr="00492CF8">
          <w:rPr>
            <w:rStyle w:val="Hyperlink"/>
            <w:rFonts w:ascii="Arial" w:hAnsi="Arial" w:cs="Arial"/>
          </w:rPr>
          <w:t>here</w:t>
        </w:r>
      </w:hyperlink>
      <w:r w:rsidRPr="00492CF8">
        <w:rPr>
          <w:rFonts w:ascii="Arial" w:hAnsi="Arial" w:cs="Arial"/>
        </w:rPr>
        <w:t>.</w:t>
      </w:r>
    </w:p>
  </w:footnote>
  <w:footnote w:id="17">
    <w:p w:rsidR="00DE7199" w:rsidRPr="00492CF8" w:rsidRDefault="00DE7199">
      <w:pPr>
        <w:pStyle w:val="FootnoteText"/>
        <w:rPr>
          <w:rFonts w:ascii="Arial" w:hAnsi="Arial" w:cs="Arial"/>
          <w:lang w:val="en-US"/>
        </w:rPr>
      </w:pPr>
      <w:r w:rsidRPr="00492CF8">
        <w:rPr>
          <w:rStyle w:val="FootnoteReference"/>
          <w:rFonts w:ascii="Arial" w:hAnsi="Arial" w:cs="Arial"/>
        </w:rPr>
        <w:footnoteRef/>
      </w:r>
      <w:r w:rsidRPr="00492CF8">
        <w:rPr>
          <w:rFonts w:ascii="Arial" w:hAnsi="Arial" w:cs="Arial"/>
        </w:rPr>
        <w:t xml:space="preserve"> Paragraph 19 of the Scottish Government’s Equalit</w:t>
      </w:r>
      <w:r>
        <w:rPr>
          <w:rFonts w:ascii="Arial" w:hAnsi="Arial" w:cs="Arial"/>
        </w:rPr>
        <w:t>ies</w:t>
      </w:r>
      <w:r w:rsidRPr="00492CF8">
        <w:rPr>
          <w:rFonts w:ascii="Arial" w:hAnsi="Arial" w:cs="Arial"/>
        </w:rPr>
        <w:t xml:space="preserve"> </w:t>
      </w:r>
      <w:r>
        <w:rPr>
          <w:rFonts w:ascii="Arial" w:hAnsi="Arial" w:cs="Arial"/>
        </w:rPr>
        <w:t>I</w:t>
      </w:r>
      <w:r w:rsidRPr="00492CF8">
        <w:rPr>
          <w:rFonts w:ascii="Arial" w:hAnsi="Arial" w:cs="Arial"/>
        </w:rPr>
        <w:t xml:space="preserve">mpact </w:t>
      </w:r>
      <w:r>
        <w:rPr>
          <w:rFonts w:ascii="Arial" w:hAnsi="Arial" w:cs="Arial"/>
        </w:rPr>
        <w:t>A</w:t>
      </w:r>
      <w:r w:rsidRPr="00492CF8">
        <w:rPr>
          <w:rFonts w:ascii="Arial" w:hAnsi="Arial" w:cs="Arial"/>
        </w:rPr>
        <w:t>ssessment.</w:t>
      </w:r>
      <w:r w:rsidR="00FC3945">
        <w:rPr>
          <w:rFonts w:ascii="Arial" w:hAnsi="Arial" w:cs="Arial"/>
        </w:rPr>
        <w:t xml:space="preserve"> </w:t>
      </w:r>
    </w:p>
  </w:footnote>
  <w:footnote w:id="18">
    <w:p w:rsidR="00DE7199" w:rsidRPr="005830CE" w:rsidRDefault="00DE7199">
      <w:pPr>
        <w:pStyle w:val="FootnoteText"/>
        <w:rPr>
          <w:rFonts w:ascii="Arial" w:hAnsi="Arial" w:cs="Arial"/>
          <w:lang w:val="en-US"/>
        </w:rPr>
      </w:pPr>
      <w:r w:rsidRPr="00492CF8">
        <w:rPr>
          <w:rStyle w:val="FootnoteReference"/>
          <w:rFonts w:ascii="Arial" w:hAnsi="Arial" w:cs="Arial"/>
        </w:rPr>
        <w:footnoteRef/>
      </w:r>
      <w:r w:rsidRPr="00492CF8">
        <w:rPr>
          <w:rFonts w:ascii="Arial" w:hAnsi="Arial" w:cs="Arial"/>
        </w:rPr>
        <w:t xml:space="preserve"> </w:t>
      </w:r>
      <w:r w:rsidRPr="00492CF8">
        <w:rPr>
          <w:rFonts w:ascii="Arial" w:hAnsi="Arial" w:cs="Arial"/>
          <w:lang w:val="en-US"/>
        </w:rPr>
        <w:t>Social Security (General Benefit) Regulations 1982 No. 1408. However, payment of both components of DLA stops in custody, in contrast to CDP where only the care component stops.</w:t>
      </w:r>
    </w:p>
  </w:footnote>
  <w:footnote w:id="19">
    <w:p w:rsidR="00DE7199" w:rsidRPr="00534103" w:rsidRDefault="00DE7199">
      <w:pPr>
        <w:pStyle w:val="FootnoteText"/>
        <w:rPr>
          <w:lang w:val="en-US"/>
        </w:rPr>
      </w:pPr>
      <w:r>
        <w:rPr>
          <w:rStyle w:val="FootnoteReference"/>
        </w:rPr>
        <w:footnoteRef/>
      </w:r>
      <w:r>
        <w:t xml:space="preserve"> </w:t>
      </w:r>
      <w:r>
        <w:rPr>
          <w:rFonts w:ascii="Arial" w:hAnsi="Arial" w:cs="Arial"/>
        </w:rPr>
        <w:t xml:space="preserve">Paragraph 20 </w:t>
      </w:r>
      <w:r w:rsidRPr="00492CF8">
        <w:rPr>
          <w:rFonts w:ascii="Arial" w:hAnsi="Arial" w:cs="Arial"/>
        </w:rPr>
        <w:t>of th</w:t>
      </w:r>
      <w:r>
        <w:rPr>
          <w:rFonts w:ascii="Arial" w:hAnsi="Arial" w:cs="Arial"/>
        </w:rPr>
        <w:t>e Scottish Government’s Equalities</w:t>
      </w:r>
      <w:r w:rsidRPr="00492CF8">
        <w:rPr>
          <w:rFonts w:ascii="Arial" w:hAnsi="Arial" w:cs="Arial"/>
        </w:rPr>
        <w:t xml:space="preserve"> </w:t>
      </w:r>
      <w:r>
        <w:rPr>
          <w:rFonts w:ascii="Arial" w:hAnsi="Arial" w:cs="Arial"/>
        </w:rPr>
        <w:t>Impact A</w:t>
      </w:r>
      <w:r w:rsidRPr="00492CF8">
        <w:rPr>
          <w:rFonts w:ascii="Arial" w:hAnsi="Arial" w:cs="Arial"/>
        </w:rPr>
        <w:t>ssessment.</w:t>
      </w:r>
      <w:r w:rsidR="00FC3945">
        <w:rPr>
          <w:rFonts w:ascii="Arial" w:hAnsi="Arial" w:cs="Arial"/>
        </w:rPr>
        <w:t xml:space="preserve"> </w:t>
      </w:r>
    </w:p>
  </w:footnote>
  <w:footnote w:id="20">
    <w:p w:rsidR="00DE7199" w:rsidRPr="00FC3945" w:rsidRDefault="00DE7199" w:rsidP="004C258F">
      <w:pPr>
        <w:pStyle w:val="FootnoteText"/>
        <w:rPr>
          <w:rFonts w:ascii="Arial" w:hAnsi="Arial" w:cs="Arial"/>
        </w:rPr>
      </w:pPr>
      <w:r w:rsidRPr="00FC3945">
        <w:rPr>
          <w:rStyle w:val="FootnoteReference"/>
          <w:rFonts w:ascii="Arial" w:hAnsi="Arial" w:cs="Arial"/>
        </w:rPr>
        <w:footnoteRef/>
      </w:r>
      <w:r w:rsidRPr="00FC3945">
        <w:rPr>
          <w:rFonts w:ascii="Arial" w:hAnsi="Arial" w:cs="Arial"/>
        </w:rPr>
        <w:t xml:space="preserve"> For example under Article 1, Protocol 1 of the</w:t>
      </w:r>
      <w:r w:rsidRPr="00FC3945">
        <w:rPr>
          <w:rFonts w:ascii="Arial" w:hAnsi="Arial" w:cs="Arial"/>
          <w:color w:val="364546"/>
          <w:shd w:val="clear" w:color="auto" w:fill="FFFFFF"/>
        </w:rPr>
        <w:t> European Convention on Human Rights</w:t>
      </w:r>
      <w:r w:rsidRPr="00FC3945">
        <w:rPr>
          <w:rFonts w:ascii="Arial" w:hAnsi="Arial" w:cs="Arial"/>
        </w:rPr>
        <w:t>.</w:t>
      </w:r>
    </w:p>
  </w:footnote>
  <w:footnote w:id="21">
    <w:p w:rsidR="00DE7199" w:rsidRPr="00FC3945" w:rsidRDefault="00DE7199" w:rsidP="004C258F">
      <w:pPr>
        <w:pStyle w:val="FootnoteText"/>
        <w:rPr>
          <w:rFonts w:ascii="Arial" w:hAnsi="Arial" w:cs="Arial"/>
          <w:lang w:val="en-US"/>
        </w:rPr>
      </w:pPr>
      <w:r w:rsidRPr="00FC3945">
        <w:rPr>
          <w:rStyle w:val="FootnoteReference"/>
          <w:rFonts w:ascii="Arial" w:hAnsi="Arial" w:cs="Arial"/>
        </w:rPr>
        <w:footnoteRef/>
      </w:r>
      <w:r w:rsidRPr="00FC3945">
        <w:rPr>
          <w:rFonts w:ascii="Arial" w:hAnsi="Arial" w:cs="Arial"/>
        </w:rPr>
        <w:t xml:space="preserve"> </w:t>
      </w:r>
      <w:r w:rsidRPr="00FC3945">
        <w:rPr>
          <w:rFonts w:ascii="Arial" w:hAnsi="Arial" w:cs="Arial"/>
          <w:lang w:val="en-US"/>
        </w:rPr>
        <w:t>Schedule, paragraph 6, the Scottish Child Payment Regulations 2020 SSI 2020 No. 351, requires full backdating when someone is underpaid due to an official error.</w:t>
      </w:r>
    </w:p>
  </w:footnote>
  <w:footnote w:id="22">
    <w:p w:rsidR="00DE7199" w:rsidRPr="00FC3945" w:rsidRDefault="00DE7199" w:rsidP="004C258F">
      <w:pPr>
        <w:pStyle w:val="FootnoteText"/>
        <w:rPr>
          <w:rFonts w:ascii="Arial" w:hAnsi="Arial" w:cs="Arial"/>
          <w:lang w:val="en-US"/>
        </w:rPr>
      </w:pPr>
      <w:r w:rsidRPr="00FC3945">
        <w:rPr>
          <w:rStyle w:val="FootnoteReference"/>
          <w:rFonts w:ascii="Arial" w:hAnsi="Arial" w:cs="Arial"/>
        </w:rPr>
        <w:footnoteRef/>
      </w:r>
      <w:r w:rsidRPr="00FC3945">
        <w:rPr>
          <w:rFonts w:ascii="Arial" w:hAnsi="Arial" w:cs="Arial"/>
        </w:rPr>
        <w:t xml:space="preserve"> For DLA and other UK benefits, the default is full backdating when there has been an official error, except where it is an error of law.</w:t>
      </w:r>
    </w:p>
  </w:footnote>
  <w:footnote w:id="23">
    <w:p w:rsidR="00DE7199" w:rsidRPr="00FC3945" w:rsidRDefault="00DE7199">
      <w:pPr>
        <w:pStyle w:val="FootnoteText"/>
        <w:rPr>
          <w:rFonts w:ascii="Arial" w:hAnsi="Arial" w:cs="Arial"/>
          <w:lang w:val="en-US"/>
        </w:rPr>
      </w:pPr>
      <w:r w:rsidRPr="00FC3945">
        <w:rPr>
          <w:rStyle w:val="FootnoteReference"/>
          <w:rFonts w:ascii="Arial" w:hAnsi="Arial" w:cs="Arial"/>
        </w:rPr>
        <w:footnoteRef/>
      </w:r>
      <w:r w:rsidRPr="00FC3945">
        <w:rPr>
          <w:rFonts w:ascii="Arial" w:hAnsi="Arial" w:cs="Arial"/>
        </w:rPr>
        <w:t xml:space="preserve"> Paragraph 87 of the Equalities Impact Assessment refers to paying through </w:t>
      </w:r>
      <w:proofErr w:type="spellStart"/>
      <w:r w:rsidRPr="00FC3945">
        <w:rPr>
          <w:rFonts w:ascii="Arial" w:hAnsi="Arial" w:cs="Arial"/>
        </w:rPr>
        <w:t>iMovo</w:t>
      </w:r>
      <w:proofErr w:type="spellEnd"/>
      <w:r w:rsidRPr="00FC3945">
        <w:rPr>
          <w:rFonts w:ascii="Arial" w:hAnsi="Arial" w:cs="Arial"/>
        </w:rPr>
        <w:t xml:space="preserve">, a secure digital voucher system delivered through email or text message and redeemable at </w:t>
      </w:r>
      <w:proofErr w:type="spellStart"/>
      <w:r w:rsidRPr="00FC3945">
        <w:rPr>
          <w:rFonts w:ascii="Arial" w:hAnsi="Arial" w:cs="Arial"/>
        </w:rPr>
        <w:t>PayPoint</w:t>
      </w:r>
      <w:proofErr w:type="spellEnd"/>
      <w:r w:rsidRPr="00FC3945">
        <w:rPr>
          <w:rFonts w:ascii="Arial" w:hAnsi="Arial" w:cs="Arial"/>
        </w:rPr>
        <w:t xml:space="preserve"> outlets.</w:t>
      </w:r>
    </w:p>
  </w:footnote>
  <w:footnote w:id="24">
    <w:p w:rsidR="00DE7199" w:rsidRPr="005830CE" w:rsidRDefault="00DE7199" w:rsidP="004C258F">
      <w:pPr>
        <w:pStyle w:val="FootnoteText"/>
        <w:rPr>
          <w:rFonts w:ascii="Arial" w:hAnsi="Arial" w:cs="Arial"/>
          <w:lang w:val="en-US"/>
        </w:rPr>
      </w:pPr>
      <w:r w:rsidRPr="00FC3945">
        <w:rPr>
          <w:rStyle w:val="FootnoteReference"/>
          <w:rFonts w:ascii="Arial" w:hAnsi="Arial" w:cs="Arial"/>
        </w:rPr>
        <w:footnoteRef/>
      </w:r>
      <w:r w:rsidRPr="00FC3945">
        <w:rPr>
          <w:rFonts w:ascii="Arial" w:hAnsi="Arial" w:cs="Arial"/>
        </w:rPr>
        <w:t xml:space="preserve"> Paragraph 87 of the Scottish Government’s Equality impact assessment.</w:t>
      </w:r>
      <w:r w:rsidR="00FC3945">
        <w:rPr>
          <w:rFonts w:ascii="Arial" w:hAnsi="Arial" w:cs="Arial"/>
        </w:rPr>
        <w:t xml:space="preserve"> </w:t>
      </w:r>
    </w:p>
  </w:footnote>
  <w:footnote w:id="25">
    <w:p w:rsidR="00DE7199" w:rsidRPr="00FC3945" w:rsidRDefault="00DE7199">
      <w:pPr>
        <w:pStyle w:val="FootnoteText"/>
        <w:rPr>
          <w:rFonts w:ascii="Arial" w:hAnsi="Arial" w:cs="Arial"/>
        </w:rPr>
      </w:pPr>
      <w:r w:rsidRPr="005830CE">
        <w:rPr>
          <w:rStyle w:val="FootnoteReference"/>
          <w:rFonts w:ascii="Arial" w:hAnsi="Arial" w:cs="Arial"/>
        </w:rPr>
        <w:footnoteRef/>
      </w:r>
      <w:r w:rsidRPr="005830CE">
        <w:rPr>
          <w:rFonts w:ascii="Arial" w:hAnsi="Arial" w:cs="Arial"/>
        </w:rPr>
        <w:t xml:space="preserve"> </w:t>
      </w:r>
      <w:r w:rsidRPr="00FC3945">
        <w:rPr>
          <w:rFonts w:ascii="Arial" w:hAnsi="Arial" w:cs="Arial"/>
          <w:szCs w:val="22"/>
        </w:rPr>
        <w:t xml:space="preserve">TS (by TS) v </w:t>
      </w:r>
      <w:proofErr w:type="spellStart"/>
      <w:r w:rsidRPr="00FC3945">
        <w:rPr>
          <w:rFonts w:ascii="Arial" w:hAnsi="Arial" w:cs="Arial"/>
          <w:szCs w:val="22"/>
        </w:rPr>
        <w:t>SSWP</w:t>
      </w:r>
      <w:proofErr w:type="spellEnd"/>
      <w:r w:rsidRPr="00FC3945">
        <w:rPr>
          <w:rFonts w:ascii="Arial" w:hAnsi="Arial" w:cs="Arial"/>
          <w:szCs w:val="22"/>
        </w:rPr>
        <w:t xml:space="preserve"> (DLA); </w:t>
      </w:r>
      <w:proofErr w:type="spellStart"/>
      <w:r w:rsidRPr="00FC3945">
        <w:rPr>
          <w:rFonts w:ascii="Arial" w:hAnsi="Arial" w:cs="Arial"/>
          <w:szCs w:val="22"/>
        </w:rPr>
        <w:t>EK</w:t>
      </w:r>
      <w:proofErr w:type="spellEnd"/>
      <w:r w:rsidRPr="00FC3945">
        <w:rPr>
          <w:rFonts w:ascii="Arial" w:hAnsi="Arial" w:cs="Arial"/>
          <w:szCs w:val="22"/>
        </w:rPr>
        <w:t xml:space="preserve"> (by MK) v </w:t>
      </w:r>
      <w:proofErr w:type="spellStart"/>
      <w:r w:rsidRPr="00FC3945">
        <w:rPr>
          <w:rFonts w:ascii="Arial" w:hAnsi="Arial" w:cs="Arial"/>
          <w:szCs w:val="22"/>
        </w:rPr>
        <w:t>SSWP</w:t>
      </w:r>
      <w:proofErr w:type="spellEnd"/>
      <w:r w:rsidRPr="00FC3945">
        <w:rPr>
          <w:rFonts w:ascii="Arial" w:hAnsi="Arial" w:cs="Arial"/>
          <w:szCs w:val="22"/>
        </w:rPr>
        <w:t xml:space="preserve"> (DLA) [2020] </w:t>
      </w:r>
      <w:proofErr w:type="spellStart"/>
      <w:r w:rsidRPr="00FC3945">
        <w:rPr>
          <w:rFonts w:ascii="Arial" w:hAnsi="Arial" w:cs="Arial"/>
          <w:szCs w:val="22"/>
        </w:rPr>
        <w:t>UKUT</w:t>
      </w:r>
      <w:proofErr w:type="spellEnd"/>
      <w:r w:rsidRPr="00FC3945">
        <w:rPr>
          <w:rFonts w:ascii="Arial" w:hAnsi="Arial" w:cs="Arial"/>
          <w:szCs w:val="22"/>
        </w:rPr>
        <w:t xml:space="preserve"> 284 (</w:t>
      </w:r>
      <w:proofErr w:type="spellStart"/>
      <w:r w:rsidRPr="00FC3945">
        <w:rPr>
          <w:rFonts w:ascii="Arial" w:hAnsi="Arial" w:cs="Arial"/>
          <w:szCs w:val="22"/>
        </w:rPr>
        <w:t>AAC</w:t>
      </w:r>
      <w:proofErr w:type="spellEnd"/>
      <w:r w:rsidRPr="00FC3945">
        <w:rPr>
          <w:rFonts w:ascii="Arial" w:hAnsi="Arial" w:cs="Arial"/>
          <w:szCs w:val="22"/>
        </w:rPr>
        <w:t>).</w:t>
      </w:r>
    </w:p>
  </w:footnote>
  <w:footnote w:id="26">
    <w:p w:rsidR="00FC3945" w:rsidRPr="00FC3945" w:rsidRDefault="00FC3945">
      <w:pPr>
        <w:pStyle w:val="FootnoteText"/>
        <w:rPr>
          <w:rFonts w:ascii="Arial" w:hAnsi="Arial" w:cs="Arial"/>
        </w:rPr>
      </w:pPr>
      <w:r w:rsidRPr="00FC3945">
        <w:rPr>
          <w:rStyle w:val="FootnoteReference"/>
          <w:rFonts w:ascii="Arial" w:hAnsi="Arial" w:cs="Arial"/>
        </w:rPr>
        <w:footnoteRef/>
      </w:r>
      <w:r w:rsidRPr="00FC3945">
        <w:rPr>
          <w:rFonts w:ascii="Arial" w:hAnsi="Arial" w:cs="Arial"/>
        </w:rPr>
        <w:t xml:space="preserve"> “</w:t>
      </w:r>
      <w:r>
        <w:rPr>
          <w:rFonts w:ascii="Arial" w:hAnsi="Arial" w:cs="Arial"/>
        </w:rPr>
        <w:t>S</w:t>
      </w:r>
      <w:r w:rsidRPr="00FC3945">
        <w:rPr>
          <w:rFonts w:ascii="Arial" w:hAnsi="Arial" w:cs="Arial"/>
        </w:rPr>
        <w:t>ocial security is itself a human right and essential to the realisation of other human rights”, section 2 of the Social Security (Scotland) Act.</w:t>
      </w:r>
    </w:p>
  </w:footnote>
  <w:footnote w:id="27">
    <w:p w:rsidR="000433D2" w:rsidRPr="007328BD" w:rsidRDefault="000433D2">
      <w:pPr>
        <w:pStyle w:val="FootnoteText"/>
        <w:rPr>
          <w:lang w:val="en-US"/>
        </w:rPr>
      </w:pPr>
      <w:r w:rsidRPr="00FC3945">
        <w:rPr>
          <w:rStyle w:val="FootnoteReference"/>
          <w:rFonts w:ascii="Arial" w:hAnsi="Arial" w:cs="Arial"/>
        </w:rPr>
        <w:footnoteRef/>
      </w:r>
      <w:r w:rsidRPr="00FC3945">
        <w:rPr>
          <w:rFonts w:ascii="Arial" w:hAnsi="Arial" w:cs="Arial"/>
        </w:rPr>
        <w:t xml:space="preserve"> </w:t>
      </w:r>
      <w:r w:rsidRPr="00FC3945">
        <w:rPr>
          <w:rFonts w:ascii="Arial" w:hAnsi="Arial" w:cs="Arial"/>
          <w:lang w:val="en-US"/>
        </w:rPr>
        <w:t xml:space="preserve">Sections 29 and 54 </w:t>
      </w:r>
      <w:r w:rsidR="00004007" w:rsidRPr="00FC3945">
        <w:rPr>
          <w:rFonts w:ascii="Arial" w:hAnsi="Arial" w:cs="Arial"/>
          <w:lang w:val="en-US"/>
        </w:rPr>
        <w:t xml:space="preserve">of the </w:t>
      </w:r>
      <w:r w:rsidRPr="00FC3945">
        <w:rPr>
          <w:rFonts w:ascii="Arial" w:hAnsi="Arial" w:cs="Arial"/>
          <w:lang w:val="en-US"/>
        </w:rPr>
        <w:t>Scotland Act 1998</w:t>
      </w:r>
    </w:p>
  </w:footnote>
  <w:footnote w:id="28">
    <w:p w:rsidR="00DE7199" w:rsidRPr="005830CE" w:rsidRDefault="00DE7199">
      <w:pPr>
        <w:pStyle w:val="FootnoteText"/>
        <w:rPr>
          <w:rFonts w:ascii="Arial" w:hAnsi="Arial" w:cs="Arial"/>
          <w:lang w:val="en-US"/>
        </w:rPr>
      </w:pPr>
      <w:r w:rsidRPr="005830CE">
        <w:rPr>
          <w:rStyle w:val="FootnoteReference"/>
          <w:rFonts w:ascii="Arial" w:hAnsi="Arial" w:cs="Arial"/>
        </w:rPr>
        <w:footnoteRef/>
      </w:r>
      <w:r w:rsidRPr="005830CE">
        <w:rPr>
          <w:rFonts w:ascii="Arial" w:hAnsi="Arial" w:cs="Arial"/>
        </w:rPr>
        <w:t xml:space="preserve"> </w:t>
      </w:r>
      <w:r w:rsidRPr="005830CE">
        <w:rPr>
          <w:rFonts w:ascii="Arial" w:hAnsi="Arial" w:cs="Arial"/>
          <w:lang w:val="en-US"/>
        </w:rPr>
        <w:t>Section 6(1) of the Bill states, “It is unlawful for a public authority to act in a way which is incompatible with the UNCRC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F6489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color w:val="auto"/>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017C9B"/>
    <w:multiLevelType w:val="hybridMultilevel"/>
    <w:tmpl w:val="AD10F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10FAC"/>
    <w:multiLevelType w:val="hybridMultilevel"/>
    <w:tmpl w:val="69BCBAEC"/>
    <w:lvl w:ilvl="0" w:tplc="D0E6C5C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06A8E"/>
    <w:multiLevelType w:val="hybridMultilevel"/>
    <w:tmpl w:val="54EE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687F"/>
    <w:multiLevelType w:val="hybridMultilevel"/>
    <w:tmpl w:val="5B0EB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565A2E"/>
    <w:multiLevelType w:val="hybridMultilevel"/>
    <w:tmpl w:val="1FD6DB88"/>
    <w:lvl w:ilvl="0" w:tplc="887EB4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A560C"/>
    <w:multiLevelType w:val="hybridMultilevel"/>
    <w:tmpl w:val="B13A99AE"/>
    <w:lvl w:ilvl="0" w:tplc="3F54C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667A85"/>
    <w:multiLevelType w:val="multilevel"/>
    <w:tmpl w:val="047E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14497"/>
    <w:multiLevelType w:val="hybridMultilevel"/>
    <w:tmpl w:val="133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223BB"/>
    <w:multiLevelType w:val="hybridMultilevel"/>
    <w:tmpl w:val="EF589AB8"/>
    <w:lvl w:ilvl="0" w:tplc="40603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C6671"/>
    <w:multiLevelType w:val="multilevel"/>
    <w:tmpl w:val="D826DC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CE208A"/>
    <w:multiLevelType w:val="multilevel"/>
    <w:tmpl w:val="C54ECD74"/>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56B7FE2"/>
    <w:multiLevelType w:val="multilevel"/>
    <w:tmpl w:val="C54ECD74"/>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57913D4"/>
    <w:multiLevelType w:val="multilevel"/>
    <w:tmpl w:val="C54ECD74"/>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5C504D8"/>
    <w:multiLevelType w:val="hybridMultilevel"/>
    <w:tmpl w:val="25BE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C2CFB"/>
    <w:multiLevelType w:val="hybridMultilevel"/>
    <w:tmpl w:val="178EE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65B20"/>
    <w:multiLevelType w:val="hybridMultilevel"/>
    <w:tmpl w:val="501A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06E13"/>
    <w:multiLevelType w:val="multilevel"/>
    <w:tmpl w:val="396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A5EB6"/>
    <w:multiLevelType w:val="hybridMultilevel"/>
    <w:tmpl w:val="84B6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E6910"/>
    <w:multiLevelType w:val="hybridMultilevel"/>
    <w:tmpl w:val="45624F62"/>
    <w:lvl w:ilvl="0" w:tplc="40603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47AF3"/>
    <w:multiLevelType w:val="hybridMultilevel"/>
    <w:tmpl w:val="27D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35D0E"/>
    <w:multiLevelType w:val="multilevel"/>
    <w:tmpl w:val="64326508"/>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E3801E1"/>
    <w:multiLevelType w:val="hybridMultilevel"/>
    <w:tmpl w:val="81401B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F2E5286"/>
    <w:multiLevelType w:val="multilevel"/>
    <w:tmpl w:val="C54ECD74"/>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52E1319"/>
    <w:multiLevelType w:val="hybridMultilevel"/>
    <w:tmpl w:val="F4D8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54A6E"/>
    <w:multiLevelType w:val="multilevel"/>
    <w:tmpl w:val="19AC566A"/>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9A6959"/>
    <w:multiLevelType w:val="hybridMultilevel"/>
    <w:tmpl w:val="D610D012"/>
    <w:lvl w:ilvl="0" w:tplc="5826033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B936A2"/>
    <w:multiLevelType w:val="multilevel"/>
    <w:tmpl w:val="D826DC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E0630BA"/>
    <w:multiLevelType w:val="hybridMultilevel"/>
    <w:tmpl w:val="1B88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C2244"/>
    <w:multiLevelType w:val="multilevel"/>
    <w:tmpl w:val="83D4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
  </w:num>
  <w:num w:numId="4">
    <w:abstractNumId w:val="10"/>
  </w:num>
  <w:num w:numId="5">
    <w:abstractNumId w:val="15"/>
  </w:num>
  <w:num w:numId="6">
    <w:abstractNumId w:val="27"/>
  </w:num>
  <w:num w:numId="7">
    <w:abstractNumId w:val="17"/>
  </w:num>
  <w:num w:numId="8">
    <w:abstractNumId w:val="25"/>
  </w:num>
  <w:num w:numId="9">
    <w:abstractNumId w:val="24"/>
  </w:num>
  <w:num w:numId="10">
    <w:abstractNumId w:val="12"/>
  </w:num>
  <w:num w:numId="11">
    <w:abstractNumId w:val="21"/>
  </w:num>
  <w:num w:numId="12">
    <w:abstractNumId w:val="26"/>
  </w:num>
  <w:num w:numId="13">
    <w:abstractNumId w:val="7"/>
  </w:num>
  <w:num w:numId="14">
    <w:abstractNumId w:val="23"/>
  </w:num>
  <w:num w:numId="15">
    <w:abstractNumId w:val="11"/>
  </w:num>
  <w:num w:numId="16">
    <w:abstractNumId w:val="13"/>
  </w:num>
  <w:num w:numId="17">
    <w:abstractNumId w:val="0"/>
  </w:num>
  <w:num w:numId="18">
    <w:abstractNumId w:val="1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9"/>
  </w:num>
  <w:num w:numId="32">
    <w:abstractNumId w:val="0"/>
  </w:num>
  <w:num w:numId="33">
    <w:abstractNumId w:val="0"/>
  </w:num>
  <w:num w:numId="34">
    <w:abstractNumId w:val="0"/>
  </w:num>
  <w:num w:numId="35">
    <w:abstractNumId w:val="5"/>
  </w:num>
  <w:num w:numId="36">
    <w:abstractNumId w:val="4"/>
  </w:num>
  <w:num w:numId="37">
    <w:abstractNumId w:val="20"/>
  </w:num>
  <w:num w:numId="38">
    <w:abstractNumId w:val="28"/>
  </w:num>
  <w:num w:numId="39">
    <w:abstractNumId w:val="16"/>
  </w:num>
  <w:num w:numId="40">
    <w:abstractNumId w:val="6"/>
  </w:num>
  <w:num w:numId="41">
    <w:abstractNumId w:val="8"/>
  </w:num>
  <w:num w:numId="42">
    <w:abstractNumId w:val="29"/>
  </w:num>
  <w:num w:numId="43">
    <w:abstractNumId w:val="0"/>
  </w:num>
  <w:num w:numId="44">
    <w:abstractNumId w:val="0"/>
  </w:num>
  <w:num w:numId="45">
    <w:abstractNumId w:val="18"/>
  </w:num>
  <w:num w:numId="46">
    <w:abstractNumId w:val="2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00"/>
    <w:rsid w:val="00000F56"/>
    <w:rsid w:val="00000FE6"/>
    <w:rsid w:val="0000119C"/>
    <w:rsid w:val="00003336"/>
    <w:rsid w:val="00004007"/>
    <w:rsid w:val="00005711"/>
    <w:rsid w:val="0000671A"/>
    <w:rsid w:val="000118B9"/>
    <w:rsid w:val="000144A0"/>
    <w:rsid w:val="00017851"/>
    <w:rsid w:val="000218AF"/>
    <w:rsid w:val="00036716"/>
    <w:rsid w:val="00042F25"/>
    <w:rsid w:val="000433D2"/>
    <w:rsid w:val="0005190F"/>
    <w:rsid w:val="000533DA"/>
    <w:rsid w:val="000568B2"/>
    <w:rsid w:val="000619B0"/>
    <w:rsid w:val="00064888"/>
    <w:rsid w:val="00072696"/>
    <w:rsid w:val="000749D3"/>
    <w:rsid w:val="00087C0D"/>
    <w:rsid w:val="00092E75"/>
    <w:rsid w:val="000977F0"/>
    <w:rsid w:val="000A1F46"/>
    <w:rsid w:val="000A2D94"/>
    <w:rsid w:val="000A5B14"/>
    <w:rsid w:val="000A6BDF"/>
    <w:rsid w:val="000A6F0B"/>
    <w:rsid w:val="000B4BED"/>
    <w:rsid w:val="000B5580"/>
    <w:rsid w:val="000C648C"/>
    <w:rsid w:val="000D1896"/>
    <w:rsid w:val="000D1DDA"/>
    <w:rsid w:val="000F48BB"/>
    <w:rsid w:val="000F6673"/>
    <w:rsid w:val="00110451"/>
    <w:rsid w:val="001135A1"/>
    <w:rsid w:val="00114603"/>
    <w:rsid w:val="00124603"/>
    <w:rsid w:val="00132091"/>
    <w:rsid w:val="00136A6A"/>
    <w:rsid w:val="00143653"/>
    <w:rsid w:val="0014465F"/>
    <w:rsid w:val="00152FB4"/>
    <w:rsid w:val="0015314F"/>
    <w:rsid w:val="0015610C"/>
    <w:rsid w:val="00160707"/>
    <w:rsid w:val="00165A81"/>
    <w:rsid w:val="00166C6C"/>
    <w:rsid w:val="00170068"/>
    <w:rsid w:val="00173523"/>
    <w:rsid w:val="001745AB"/>
    <w:rsid w:val="001852FF"/>
    <w:rsid w:val="00194ECC"/>
    <w:rsid w:val="001A43E9"/>
    <w:rsid w:val="001B1885"/>
    <w:rsid w:val="001B4161"/>
    <w:rsid w:val="001B5704"/>
    <w:rsid w:val="001B74BC"/>
    <w:rsid w:val="001C00BD"/>
    <w:rsid w:val="001C470A"/>
    <w:rsid w:val="001E445D"/>
    <w:rsid w:val="001E6990"/>
    <w:rsid w:val="001F2BAE"/>
    <w:rsid w:val="001F363D"/>
    <w:rsid w:val="001F364F"/>
    <w:rsid w:val="001F53FA"/>
    <w:rsid w:val="002064DA"/>
    <w:rsid w:val="00216A7E"/>
    <w:rsid w:val="00223636"/>
    <w:rsid w:val="00224837"/>
    <w:rsid w:val="002315A3"/>
    <w:rsid w:val="002319C3"/>
    <w:rsid w:val="0023232A"/>
    <w:rsid w:val="00233D49"/>
    <w:rsid w:val="00234683"/>
    <w:rsid w:val="00237545"/>
    <w:rsid w:val="00241E47"/>
    <w:rsid w:val="00242D2B"/>
    <w:rsid w:val="00242D47"/>
    <w:rsid w:val="00244766"/>
    <w:rsid w:val="00246A32"/>
    <w:rsid w:val="00247592"/>
    <w:rsid w:val="00251E93"/>
    <w:rsid w:val="00256FC4"/>
    <w:rsid w:val="00265DC9"/>
    <w:rsid w:val="002661B3"/>
    <w:rsid w:val="00275711"/>
    <w:rsid w:val="00291B85"/>
    <w:rsid w:val="00292339"/>
    <w:rsid w:val="00293935"/>
    <w:rsid w:val="002962B6"/>
    <w:rsid w:val="002A3153"/>
    <w:rsid w:val="002A7FFA"/>
    <w:rsid w:val="002B19AE"/>
    <w:rsid w:val="002B2ABA"/>
    <w:rsid w:val="002B71B0"/>
    <w:rsid w:val="002C0EFE"/>
    <w:rsid w:val="002C58DC"/>
    <w:rsid w:val="002C7824"/>
    <w:rsid w:val="002D0117"/>
    <w:rsid w:val="002D0D7E"/>
    <w:rsid w:val="002D4EBE"/>
    <w:rsid w:val="002E7284"/>
    <w:rsid w:val="002F1B50"/>
    <w:rsid w:val="002F411B"/>
    <w:rsid w:val="002F48BB"/>
    <w:rsid w:val="00301C38"/>
    <w:rsid w:val="00305852"/>
    <w:rsid w:val="00310F12"/>
    <w:rsid w:val="0031353D"/>
    <w:rsid w:val="0031503E"/>
    <w:rsid w:val="003208E5"/>
    <w:rsid w:val="0032730A"/>
    <w:rsid w:val="00327B5A"/>
    <w:rsid w:val="00327EBF"/>
    <w:rsid w:val="003713AE"/>
    <w:rsid w:val="0037147A"/>
    <w:rsid w:val="0038025E"/>
    <w:rsid w:val="0038716D"/>
    <w:rsid w:val="00390242"/>
    <w:rsid w:val="00391F14"/>
    <w:rsid w:val="00394B9D"/>
    <w:rsid w:val="003A2B74"/>
    <w:rsid w:val="003B11FB"/>
    <w:rsid w:val="003B2108"/>
    <w:rsid w:val="003B2313"/>
    <w:rsid w:val="003B3D20"/>
    <w:rsid w:val="003B7FBD"/>
    <w:rsid w:val="003C2DC6"/>
    <w:rsid w:val="003C5C42"/>
    <w:rsid w:val="003D2799"/>
    <w:rsid w:val="003D46F1"/>
    <w:rsid w:val="003E01EA"/>
    <w:rsid w:val="003E3E18"/>
    <w:rsid w:val="003E44BF"/>
    <w:rsid w:val="003F6C9A"/>
    <w:rsid w:val="004009BF"/>
    <w:rsid w:val="00400DBC"/>
    <w:rsid w:val="00405DF1"/>
    <w:rsid w:val="00406F67"/>
    <w:rsid w:val="00410231"/>
    <w:rsid w:val="0041024C"/>
    <w:rsid w:val="0041087A"/>
    <w:rsid w:val="00413D3B"/>
    <w:rsid w:val="00415CEA"/>
    <w:rsid w:val="00425C2B"/>
    <w:rsid w:val="00430BD7"/>
    <w:rsid w:val="004370E5"/>
    <w:rsid w:val="00441642"/>
    <w:rsid w:val="00443E92"/>
    <w:rsid w:val="0044458A"/>
    <w:rsid w:val="004457F2"/>
    <w:rsid w:val="00446FDB"/>
    <w:rsid w:val="00457EA0"/>
    <w:rsid w:val="00461BF3"/>
    <w:rsid w:val="004620B4"/>
    <w:rsid w:val="00462FE8"/>
    <w:rsid w:val="00467EA8"/>
    <w:rsid w:val="00471F8B"/>
    <w:rsid w:val="00475624"/>
    <w:rsid w:val="004822FC"/>
    <w:rsid w:val="00486E86"/>
    <w:rsid w:val="00490AC7"/>
    <w:rsid w:val="00491098"/>
    <w:rsid w:val="00492CF8"/>
    <w:rsid w:val="0049371B"/>
    <w:rsid w:val="004972C6"/>
    <w:rsid w:val="004A0D16"/>
    <w:rsid w:val="004B0A0C"/>
    <w:rsid w:val="004B7D93"/>
    <w:rsid w:val="004C1659"/>
    <w:rsid w:val="004C21F5"/>
    <w:rsid w:val="004C258F"/>
    <w:rsid w:val="004C25FA"/>
    <w:rsid w:val="004D7F7A"/>
    <w:rsid w:val="004E1DE3"/>
    <w:rsid w:val="004E234D"/>
    <w:rsid w:val="004F001A"/>
    <w:rsid w:val="00502C0B"/>
    <w:rsid w:val="0050586B"/>
    <w:rsid w:val="005157F5"/>
    <w:rsid w:val="005227DA"/>
    <w:rsid w:val="00522A6E"/>
    <w:rsid w:val="00525261"/>
    <w:rsid w:val="00530DAE"/>
    <w:rsid w:val="00534103"/>
    <w:rsid w:val="0053456E"/>
    <w:rsid w:val="00545297"/>
    <w:rsid w:val="0054544F"/>
    <w:rsid w:val="005505D7"/>
    <w:rsid w:val="00551C93"/>
    <w:rsid w:val="00555C1F"/>
    <w:rsid w:val="00560D68"/>
    <w:rsid w:val="00561131"/>
    <w:rsid w:val="0056124F"/>
    <w:rsid w:val="0056705D"/>
    <w:rsid w:val="005717F4"/>
    <w:rsid w:val="00573003"/>
    <w:rsid w:val="005830CE"/>
    <w:rsid w:val="0058405D"/>
    <w:rsid w:val="00584BDF"/>
    <w:rsid w:val="00585651"/>
    <w:rsid w:val="005914B5"/>
    <w:rsid w:val="00591554"/>
    <w:rsid w:val="0059473E"/>
    <w:rsid w:val="00595837"/>
    <w:rsid w:val="00595BAC"/>
    <w:rsid w:val="005A31DC"/>
    <w:rsid w:val="005A514E"/>
    <w:rsid w:val="005A6642"/>
    <w:rsid w:val="005B1565"/>
    <w:rsid w:val="005B1B93"/>
    <w:rsid w:val="005C3C08"/>
    <w:rsid w:val="005D0FBD"/>
    <w:rsid w:val="005D173C"/>
    <w:rsid w:val="005D6A94"/>
    <w:rsid w:val="005E32BB"/>
    <w:rsid w:val="005E36EF"/>
    <w:rsid w:val="005E74D9"/>
    <w:rsid w:val="005E7C88"/>
    <w:rsid w:val="005E7F6A"/>
    <w:rsid w:val="00602DE6"/>
    <w:rsid w:val="0061389F"/>
    <w:rsid w:val="00623C84"/>
    <w:rsid w:val="0062575B"/>
    <w:rsid w:val="0062586D"/>
    <w:rsid w:val="006273ED"/>
    <w:rsid w:val="00630926"/>
    <w:rsid w:val="00650E4B"/>
    <w:rsid w:val="006529A2"/>
    <w:rsid w:val="00655C1C"/>
    <w:rsid w:val="00666F2E"/>
    <w:rsid w:val="006670D4"/>
    <w:rsid w:val="00671918"/>
    <w:rsid w:val="00671C84"/>
    <w:rsid w:val="006734AE"/>
    <w:rsid w:val="006735DB"/>
    <w:rsid w:val="00680064"/>
    <w:rsid w:val="00680E54"/>
    <w:rsid w:val="00683DE7"/>
    <w:rsid w:val="006851A0"/>
    <w:rsid w:val="006855D0"/>
    <w:rsid w:val="00690EDE"/>
    <w:rsid w:val="00693101"/>
    <w:rsid w:val="006951DC"/>
    <w:rsid w:val="00696C13"/>
    <w:rsid w:val="006A0FA1"/>
    <w:rsid w:val="006A5B00"/>
    <w:rsid w:val="006A5C8B"/>
    <w:rsid w:val="006B1042"/>
    <w:rsid w:val="006B2A58"/>
    <w:rsid w:val="006B3DD5"/>
    <w:rsid w:val="006C0932"/>
    <w:rsid w:val="006C1BE9"/>
    <w:rsid w:val="006C1E97"/>
    <w:rsid w:val="006C4A16"/>
    <w:rsid w:val="006D1C90"/>
    <w:rsid w:val="006E00AB"/>
    <w:rsid w:val="006E02A0"/>
    <w:rsid w:val="006F575B"/>
    <w:rsid w:val="007042C8"/>
    <w:rsid w:val="0070664E"/>
    <w:rsid w:val="00706EA5"/>
    <w:rsid w:val="007135C7"/>
    <w:rsid w:val="007138F5"/>
    <w:rsid w:val="00714241"/>
    <w:rsid w:val="0072572F"/>
    <w:rsid w:val="007328BD"/>
    <w:rsid w:val="00732B4A"/>
    <w:rsid w:val="00734D9F"/>
    <w:rsid w:val="00736778"/>
    <w:rsid w:val="00743116"/>
    <w:rsid w:val="0074694F"/>
    <w:rsid w:val="00746A31"/>
    <w:rsid w:val="007625C8"/>
    <w:rsid w:val="00782F19"/>
    <w:rsid w:val="00784131"/>
    <w:rsid w:val="00790C60"/>
    <w:rsid w:val="00791527"/>
    <w:rsid w:val="00791836"/>
    <w:rsid w:val="00791EAE"/>
    <w:rsid w:val="00795244"/>
    <w:rsid w:val="007970F5"/>
    <w:rsid w:val="007A34AC"/>
    <w:rsid w:val="007B1BE0"/>
    <w:rsid w:val="007B37C4"/>
    <w:rsid w:val="007C09C0"/>
    <w:rsid w:val="007C1104"/>
    <w:rsid w:val="007D0BC1"/>
    <w:rsid w:val="007D2726"/>
    <w:rsid w:val="007D2A95"/>
    <w:rsid w:val="007E5072"/>
    <w:rsid w:val="007F0194"/>
    <w:rsid w:val="008008E2"/>
    <w:rsid w:val="008046A9"/>
    <w:rsid w:val="00807A00"/>
    <w:rsid w:val="00815622"/>
    <w:rsid w:val="0082220F"/>
    <w:rsid w:val="0082412F"/>
    <w:rsid w:val="00824FA6"/>
    <w:rsid w:val="00825809"/>
    <w:rsid w:val="00825E3E"/>
    <w:rsid w:val="008301E3"/>
    <w:rsid w:val="0083208B"/>
    <w:rsid w:val="0083240F"/>
    <w:rsid w:val="00833999"/>
    <w:rsid w:val="00835995"/>
    <w:rsid w:val="00837113"/>
    <w:rsid w:val="008420AB"/>
    <w:rsid w:val="00844323"/>
    <w:rsid w:val="00845A0F"/>
    <w:rsid w:val="00850AF2"/>
    <w:rsid w:val="00857A8D"/>
    <w:rsid w:val="008619CB"/>
    <w:rsid w:val="00863B73"/>
    <w:rsid w:val="00867739"/>
    <w:rsid w:val="00872F41"/>
    <w:rsid w:val="00875667"/>
    <w:rsid w:val="008758A8"/>
    <w:rsid w:val="00892669"/>
    <w:rsid w:val="00894D63"/>
    <w:rsid w:val="00895D73"/>
    <w:rsid w:val="008A083C"/>
    <w:rsid w:val="008A2C14"/>
    <w:rsid w:val="008A3862"/>
    <w:rsid w:val="008A648B"/>
    <w:rsid w:val="008A7E88"/>
    <w:rsid w:val="008B00A7"/>
    <w:rsid w:val="008B3F28"/>
    <w:rsid w:val="008D2068"/>
    <w:rsid w:val="008D4C3D"/>
    <w:rsid w:val="008D6F9B"/>
    <w:rsid w:val="008E70ED"/>
    <w:rsid w:val="008F223C"/>
    <w:rsid w:val="008F305E"/>
    <w:rsid w:val="008F7463"/>
    <w:rsid w:val="00901EA0"/>
    <w:rsid w:val="00902134"/>
    <w:rsid w:val="00904089"/>
    <w:rsid w:val="009105B6"/>
    <w:rsid w:val="00911D01"/>
    <w:rsid w:val="00912BFF"/>
    <w:rsid w:val="00914265"/>
    <w:rsid w:val="009144F7"/>
    <w:rsid w:val="0091471F"/>
    <w:rsid w:val="0092044D"/>
    <w:rsid w:val="009205D2"/>
    <w:rsid w:val="009230B3"/>
    <w:rsid w:val="00934825"/>
    <w:rsid w:val="00955E57"/>
    <w:rsid w:val="00957F20"/>
    <w:rsid w:val="00965B36"/>
    <w:rsid w:val="009769D6"/>
    <w:rsid w:val="00977C21"/>
    <w:rsid w:val="00981257"/>
    <w:rsid w:val="009909C6"/>
    <w:rsid w:val="00993C26"/>
    <w:rsid w:val="00995918"/>
    <w:rsid w:val="009961C7"/>
    <w:rsid w:val="009B0CD4"/>
    <w:rsid w:val="009B5223"/>
    <w:rsid w:val="009B7AF7"/>
    <w:rsid w:val="009C0AAA"/>
    <w:rsid w:val="009C5CA6"/>
    <w:rsid w:val="009C5E96"/>
    <w:rsid w:val="009C604B"/>
    <w:rsid w:val="009C7993"/>
    <w:rsid w:val="009E1B1A"/>
    <w:rsid w:val="009E2313"/>
    <w:rsid w:val="009E3210"/>
    <w:rsid w:val="009E69BB"/>
    <w:rsid w:val="009F38B7"/>
    <w:rsid w:val="009F397F"/>
    <w:rsid w:val="00A07717"/>
    <w:rsid w:val="00A13447"/>
    <w:rsid w:val="00A1361A"/>
    <w:rsid w:val="00A13C21"/>
    <w:rsid w:val="00A20DC8"/>
    <w:rsid w:val="00A22AFD"/>
    <w:rsid w:val="00A24F69"/>
    <w:rsid w:val="00A40E70"/>
    <w:rsid w:val="00A44880"/>
    <w:rsid w:val="00A53B01"/>
    <w:rsid w:val="00A54477"/>
    <w:rsid w:val="00A57C20"/>
    <w:rsid w:val="00A57C42"/>
    <w:rsid w:val="00A60593"/>
    <w:rsid w:val="00A67588"/>
    <w:rsid w:val="00A67AFB"/>
    <w:rsid w:val="00A73FDD"/>
    <w:rsid w:val="00A8152F"/>
    <w:rsid w:val="00A83A9D"/>
    <w:rsid w:val="00A8742A"/>
    <w:rsid w:val="00A921D7"/>
    <w:rsid w:val="00A952F0"/>
    <w:rsid w:val="00A95A4B"/>
    <w:rsid w:val="00A97021"/>
    <w:rsid w:val="00AA33EE"/>
    <w:rsid w:val="00AA6999"/>
    <w:rsid w:val="00AB1E1D"/>
    <w:rsid w:val="00AC3A15"/>
    <w:rsid w:val="00AC4F48"/>
    <w:rsid w:val="00AC5127"/>
    <w:rsid w:val="00AC562F"/>
    <w:rsid w:val="00AC6AB6"/>
    <w:rsid w:val="00AD6499"/>
    <w:rsid w:val="00AE4155"/>
    <w:rsid w:val="00AF2B0F"/>
    <w:rsid w:val="00AF3833"/>
    <w:rsid w:val="00AF40D4"/>
    <w:rsid w:val="00B03D48"/>
    <w:rsid w:val="00B12404"/>
    <w:rsid w:val="00B13D55"/>
    <w:rsid w:val="00B25969"/>
    <w:rsid w:val="00B33583"/>
    <w:rsid w:val="00B3377C"/>
    <w:rsid w:val="00B449B7"/>
    <w:rsid w:val="00B45A2F"/>
    <w:rsid w:val="00B51039"/>
    <w:rsid w:val="00B51F82"/>
    <w:rsid w:val="00B56924"/>
    <w:rsid w:val="00B62470"/>
    <w:rsid w:val="00B65428"/>
    <w:rsid w:val="00B6566B"/>
    <w:rsid w:val="00B724CC"/>
    <w:rsid w:val="00B84A09"/>
    <w:rsid w:val="00B9155D"/>
    <w:rsid w:val="00B91C94"/>
    <w:rsid w:val="00B96979"/>
    <w:rsid w:val="00BA6CBA"/>
    <w:rsid w:val="00BB11F5"/>
    <w:rsid w:val="00BC3055"/>
    <w:rsid w:val="00BC6384"/>
    <w:rsid w:val="00BD417D"/>
    <w:rsid w:val="00BE630D"/>
    <w:rsid w:val="00BE65C1"/>
    <w:rsid w:val="00BE7DF5"/>
    <w:rsid w:val="00BF41DF"/>
    <w:rsid w:val="00BF48C4"/>
    <w:rsid w:val="00C007DF"/>
    <w:rsid w:val="00C00A8F"/>
    <w:rsid w:val="00C03720"/>
    <w:rsid w:val="00C04349"/>
    <w:rsid w:val="00C0774B"/>
    <w:rsid w:val="00C078FC"/>
    <w:rsid w:val="00C07B34"/>
    <w:rsid w:val="00C07BA9"/>
    <w:rsid w:val="00C1749E"/>
    <w:rsid w:val="00C209B4"/>
    <w:rsid w:val="00C23F19"/>
    <w:rsid w:val="00C255D7"/>
    <w:rsid w:val="00C32CB2"/>
    <w:rsid w:val="00C3487B"/>
    <w:rsid w:val="00C35688"/>
    <w:rsid w:val="00C37036"/>
    <w:rsid w:val="00C479FF"/>
    <w:rsid w:val="00C5007A"/>
    <w:rsid w:val="00C50988"/>
    <w:rsid w:val="00C5146B"/>
    <w:rsid w:val="00C57BC4"/>
    <w:rsid w:val="00C612C8"/>
    <w:rsid w:val="00C64C92"/>
    <w:rsid w:val="00C6559C"/>
    <w:rsid w:val="00C72497"/>
    <w:rsid w:val="00C7704A"/>
    <w:rsid w:val="00C859E4"/>
    <w:rsid w:val="00CA1ABC"/>
    <w:rsid w:val="00CA1F7C"/>
    <w:rsid w:val="00CA23B3"/>
    <w:rsid w:val="00CA2C5E"/>
    <w:rsid w:val="00CB381A"/>
    <w:rsid w:val="00CC428C"/>
    <w:rsid w:val="00CC52AC"/>
    <w:rsid w:val="00CC53CC"/>
    <w:rsid w:val="00CC5F5A"/>
    <w:rsid w:val="00CD12FF"/>
    <w:rsid w:val="00CD16F2"/>
    <w:rsid w:val="00CD6F80"/>
    <w:rsid w:val="00CE0396"/>
    <w:rsid w:val="00CE4581"/>
    <w:rsid w:val="00CE4D65"/>
    <w:rsid w:val="00CF03F2"/>
    <w:rsid w:val="00D06EAF"/>
    <w:rsid w:val="00D10FDA"/>
    <w:rsid w:val="00D17F17"/>
    <w:rsid w:val="00D17F20"/>
    <w:rsid w:val="00D20CD1"/>
    <w:rsid w:val="00D25AC9"/>
    <w:rsid w:val="00D3516C"/>
    <w:rsid w:val="00D42844"/>
    <w:rsid w:val="00D45870"/>
    <w:rsid w:val="00D600BB"/>
    <w:rsid w:val="00D62920"/>
    <w:rsid w:val="00D654C7"/>
    <w:rsid w:val="00D72B34"/>
    <w:rsid w:val="00D75311"/>
    <w:rsid w:val="00D755F9"/>
    <w:rsid w:val="00D75D6A"/>
    <w:rsid w:val="00D815F4"/>
    <w:rsid w:val="00D8188B"/>
    <w:rsid w:val="00D82BE6"/>
    <w:rsid w:val="00D84554"/>
    <w:rsid w:val="00D86F86"/>
    <w:rsid w:val="00D87C26"/>
    <w:rsid w:val="00D9026D"/>
    <w:rsid w:val="00D9463E"/>
    <w:rsid w:val="00DA0677"/>
    <w:rsid w:val="00DA0969"/>
    <w:rsid w:val="00DA0E6F"/>
    <w:rsid w:val="00DA1813"/>
    <w:rsid w:val="00DA2009"/>
    <w:rsid w:val="00DA3816"/>
    <w:rsid w:val="00DA7857"/>
    <w:rsid w:val="00DB0696"/>
    <w:rsid w:val="00DB6A51"/>
    <w:rsid w:val="00DB7DA2"/>
    <w:rsid w:val="00DC3949"/>
    <w:rsid w:val="00DC5B1F"/>
    <w:rsid w:val="00DD5ECC"/>
    <w:rsid w:val="00DE677E"/>
    <w:rsid w:val="00DE7199"/>
    <w:rsid w:val="00DF2061"/>
    <w:rsid w:val="00DF71F0"/>
    <w:rsid w:val="00E0000B"/>
    <w:rsid w:val="00E008EB"/>
    <w:rsid w:val="00E05814"/>
    <w:rsid w:val="00E104D1"/>
    <w:rsid w:val="00E1274C"/>
    <w:rsid w:val="00E26214"/>
    <w:rsid w:val="00E308CF"/>
    <w:rsid w:val="00E30CAD"/>
    <w:rsid w:val="00E33255"/>
    <w:rsid w:val="00E34ADD"/>
    <w:rsid w:val="00E41E48"/>
    <w:rsid w:val="00E43E4D"/>
    <w:rsid w:val="00E44F65"/>
    <w:rsid w:val="00E47F7F"/>
    <w:rsid w:val="00E57917"/>
    <w:rsid w:val="00E57BE0"/>
    <w:rsid w:val="00E60809"/>
    <w:rsid w:val="00E6197B"/>
    <w:rsid w:val="00E71B40"/>
    <w:rsid w:val="00E73D10"/>
    <w:rsid w:val="00E82A54"/>
    <w:rsid w:val="00E85941"/>
    <w:rsid w:val="00E86C6E"/>
    <w:rsid w:val="00E90B69"/>
    <w:rsid w:val="00E97CEB"/>
    <w:rsid w:val="00EA2227"/>
    <w:rsid w:val="00EA44ED"/>
    <w:rsid w:val="00EA5ED3"/>
    <w:rsid w:val="00EA6A98"/>
    <w:rsid w:val="00EB0CC5"/>
    <w:rsid w:val="00EB2C19"/>
    <w:rsid w:val="00EB3D11"/>
    <w:rsid w:val="00EC3623"/>
    <w:rsid w:val="00EC5547"/>
    <w:rsid w:val="00ED2148"/>
    <w:rsid w:val="00ED6269"/>
    <w:rsid w:val="00ED6935"/>
    <w:rsid w:val="00ED69F1"/>
    <w:rsid w:val="00ED6B7D"/>
    <w:rsid w:val="00ED7E2F"/>
    <w:rsid w:val="00EE1AE9"/>
    <w:rsid w:val="00EE4B74"/>
    <w:rsid w:val="00EF09E4"/>
    <w:rsid w:val="00EF22CB"/>
    <w:rsid w:val="00EF5770"/>
    <w:rsid w:val="00EF6141"/>
    <w:rsid w:val="00F12593"/>
    <w:rsid w:val="00F17D46"/>
    <w:rsid w:val="00F22345"/>
    <w:rsid w:val="00F22C35"/>
    <w:rsid w:val="00F27C99"/>
    <w:rsid w:val="00F31905"/>
    <w:rsid w:val="00F32DD9"/>
    <w:rsid w:val="00F416B1"/>
    <w:rsid w:val="00F42EA4"/>
    <w:rsid w:val="00F45421"/>
    <w:rsid w:val="00F47215"/>
    <w:rsid w:val="00F47956"/>
    <w:rsid w:val="00F47ACE"/>
    <w:rsid w:val="00F5053E"/>
    <w:rsid w:val="00F51A77"/>
    <w:rsid w:val="00F51C95"/>
    <w:rsid w:val="00F611B9"/>
    <w:rsid w:val="00F6246A"/>
    <w:rsid w:val="00F709CF"/>
    <w:rsid w:val="00F77544"/>
    <w:rsid w:val="00FA2DD2"/>
    <w:rsid w:val="00FA419D"/>
    <w:rsid w:val="00FA630B"/>
    <w:rsid w:val="00FB2BAB"/>
    <w:rsid w:val="00FB448C"/>
    <w:rsid w:val="00FB606B"/>
    <w:rsid w:val="00FC2886"/>
    <w:rsid w:val="00FC3945"/>
    <w:rsid w:val="00FC691E"/>
    <w:rsid w:val="00FD1C40"/>
    <w:rsid w:val="00FE1F64"/>
    <w:rsid w:val="00FE4278"/>
    <w:rsid w:val="00FE7411"/>
    <w:rsid w:val="00FF0C5B"/>
    <w:rsid w:val="00FF20AC"/>
    <w:rsid w:val="00FF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745E"/>
  <w15:chartTrackingRefBased/>
  <w15:docId w15:val="{7D520B9C-35C0-417E-B06C-A4D38313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31"/>
    <w:pPr>
      <w:autoSpaceDE w:val="0"/>
      <w:autoSpaceDN w:val="0"/>
      <w:adjustRightInd w:val="0"/>
      <w:spacing w:after="0" w:line="240" w:lineRule="auto"/>
    </w:pPr>
    <w:rPr>
      <w:rFonts w:ascii="Arial" w:hAnsi="Arial" w:cs="Arial"/>
      <w:sz w:val="28"/>
      <w:szCs w:val="28"/>
    </w:rPr>
  </w:style>
  <w:style w:type="paragraph" w:styleId="Heading1">
    <w:name w:val="heading 1"/>
    <w:aliases w:val="Outline1"/>
    <w:basedOn w:val="Normal"/>
    <w:next w:val="Normal"/>
    <w:link w:val="Heading1Char"/>
    <w:uiPriority w:val="9"/>
    <w:qFormat/>
    <w:rsid w:val="0000119C"/>
    <w:pPr>
      <w:numPr>
        <w:numId w:val="17"/>
      </w:numPr>
      <w:autoSpaceDE/>
      <w:autoSpaceDN/>
      <w:adjustRightInd/>
      <w:spacing w:after="160" w:line="259" w:lineRule="auto"/>
      <w:outlineLvl w:val="0"/>
    </w:pPr>
    <w:rPr>
      <w:rFonts w:cs="Times New Roman"/>
      <w:kern w:val="24"/>
      <w:szCs w:val="20"/>
    </w:rPr>
  </w:style>
  <w:style w:type="paragraph" w:styleId="Heading2">
    <w:name w:val="heading 2"/>
    <w:aliases w:val="Outline2"/>
    <w:basedOn w:val="Normal"/>
    <w:next w:val="Normal"/>
    <w:link w:val="Heading2Char"/>
    <w:uiPriority w:val="9"/>
    <w:qFormat/>
    <w:rsid w:val="0000119C"/>
    <w:pPr>
      <w:numPr>
        <w:ilvl w:val="1"/>
        <w:numId w:val="17"/>
      </w:numPr>
      <w:autoSpaceDE/>
      <w:autoSpaceDN/>
      <w:adjustRightInd/>
      <w:spacing w:after="160" w:line="259" w:lineRule="auto"/>
      <w:outlineLvl w:val="1"/>
    </w:pPr>
    <w:rPr>
      <w:rFonts w:cs="Times New Roman"/>
      <w:kern w:val="24"/>
      <w:szCs w:val="20"/>
    </w:rPr>
  </w:style>
  <w:style w:type="paragraph" w:styleId="Heading3">
    <w:name w:val="heading 3"/>
    <w:aliases w:val="Outline3"/>
    <w:basedOn w:val="Normal"/>
    <w:next w:val="Normal"/>
    <w:link w:val="Heading3Char"/>
    <w:qFormat/>
    <w:rsid w:val="0000119C"/>
    <w:pPr>
      <w:numPr>
        <w:ilvl w:val="2"/>
        <w:numId w:val="17"/>
      </w:numPr>
      <w:autoSpaceDE/>
      <w:autoSpaceDN/>
      <w:adjustRightInd/>
      <w:spacing w:after="160" w:line="259" w:lineRule="auto"/>
      <w:outlineLvl w:val="2"/>
    </w:pPr>
    <w:rPr>
      <w:rFonts w:cs="Times New Roman"/>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23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F38B7"/>
    <w:pPr>
      <w:ind w:left="720"/>
      <w:contextualSpacing/>
    </w:pPr>
  </w:style>
  <w:style w:type="character" w:styleId="Hyperlink">
    <w:name w:val="Hyperlink"/>
    <w:basedOn w:val="DefaultParagraphFont"/>
    <w:uiPriority w:val="99"/>
    <w:unhideWhenUsed/>
    <w:rsid w:val="009F38B7"/>
    <w:rPr>
      <w:color w:val="0563C1" w:themeColor="hyperlink"/>
      <w:u w:val="single"/>
    </w:rPr>
  </w:style>
  <w:style w:type="character" w:styleId="FollowedHyperlink">
    <w:name w:val="FollowedHyperlink"/>
    <w:basedOn w:val="DefaultParagraphFont"/>
    <w:uiPriority w:val="99"/>
    <w:semiHidden/>
    <w:unhideWhenUsed/>
    <w:rsid w:val="009F38B7"/>
    <w:rPr>
      <w:color w:val="954F72" w:themeColor="followedHyperlink"/>
      <w:u w:val="single"/>
    </w:rPr>
  </w:style>
  <w:style w:type="paragraph" w:styleId="Footer">
    <w:name w:val="footer"/>
    <w:basedOn w:val="Normal"/>
    <w:link w:val="FooterChar"/>
    <w:uiPriority w:val="99"/>
    <w:rsid w:val="008619CB"/>
    <w:pPr>
      <w:tabs>
        <w:tab w:val="left" w:pos="720"/>
        <w:tab w:val="left" w:pos="1440"/>
        <w:tab w:val="left" w:pos="2160"/>
        <w:tab w:val="left" w:pos="2880"/>
        <w:tab w:val="center" w:pos="4153"/>
        <w:tab w:val="right" w:pos="8306"/>
        <w:tab w:val="right" w:pos="9907"/>
      </w:tabs>
      <w:autoSpaceDE/>
      <w:autoSpaceDN/>
      <w:adjustRightInd/>
    </w:pPr>
    <w:rPr>
      <w:rFonts w:eastAsia="Times New Roman" w:cs="Times New Roman"/>
      <w:sz w:val="24"/>
      <w:szCs w:val="24"/>
      <w:lang w:eastAsia="en-GB"/>
    </w:rPr>
  </w:style>
  <w:style w:type="character" w:customStyle="1" w:styleId="FooterChar">
    <w:name w:val="Footer Char"/>
    <w:basedOn w:val="DefaultParagraphFont"/>
    <w:link w:val="Footer"/>
    <w:uiPriority w:val="99"/>
    <w:rsid w:val="008619CB"/>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0977F0"/>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977F0"/>
    <w:rPr>
      <w:sz w:val="20"/>
      <w:szCs w:val="20"/>
    </w:rPr>
  </w:style>
  <w:style w:type="character" w:styleId="FootnoteReference">
    <w:name w:val="footnote reference"/>
    <w:basedOn w:val="DefaultParagraphFont"/>
    <w:uiPriority w:val="99"/>
    <w:semiHidden/>
    <w:unhideWhenUsed/>
    <w:rsid w:val="000977F0"/>
    <w:rPr>
      <w:vertAlign w:val="superscript"/>
    </w:rPr>
  </w:style>
  <w:style w:type="paragraph" w:customStyle="1" w:styleId="xmsonormal">
    <w:name w:val="x_msonormal"/>
    <w:basedOn w:val="Normal"/>
    <w:rsid w:val="007138F5"/>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semiHidden/>
    <w:rsid w:val="000A6BDF"/>
    <w:pPr>
      <w:autoSpaceDE/>
      <w:autoSpaceDN/>
      <w:adjustRightInd/>
      <w:spacing w:line="220" w:lineRule="atLeast"/>
      <w:jc w:val="both"/>
    </w:pPr>
    <w:rPr>
      <w:rFonts w:eastAsia="Times New Roman" w:cs="Times New Roman"/>
      <w:sz w:val="20"/>
      <w:szCs w:val="20"/>
    </w:rPr>
  </w:style>
  <w:style w:type="character" w:customStyle="1" w:styleId="CommentTextChar">
    <w:name w:val="Comment Text Char"/>
    <w:basedOn w:val="DefaultParagraphFont"/>
    <w:link w:val="CommentText"/>
    <w:semiHidden/>
    <w:rsid w:val="000A6BDF"/>
    <w:rPr>
      <w:rFonts w:ascii="Arial" w:eastAsia="Times New Roman" w:hAnsi="Arial" w:cs="Times New Roman"/>
      <w:sz w:val="20"/>
      <w:szCs w:val="20"/>
    </w:rPr>
  </w:style>
  <w:style w:type="character" w:customStyle="1" w:styleId="Heading1Char">
    <w:name w:val="Heading 1 Char"/>
    <w:aliases w:val="Outline1 Char"/>
    <w:basedOn w:val="DefaultParagraphFont"/>
    <w:link w:val="Heading1"/>
    <w:uiPriority w:val="9"/>
    <w:rsid w:val="0000119C"/>
    <w:rPr>
      <w:rFonts w:ascii="Arial" w:hAnsi="Arial" w:cs="Times New Roman"/>
      <w:kern w:val="24"/>
      <w:sz w:val="28"/>
      <w:szCs w:val="20"/>
    </w:rPr>
  </w:style>
  <w:style w:type="character" w:customStyle="1" w:styleId="Heading2Char">
    <w:name w:val="Heading 2 Char"/>
    <w:aliases w:val="Outline2 Char"/>
    <w:basedOn w:val="DefaultParagraphFont"/>
    <w:link w:val="Heading2"/>
    <w:uiPriority w:val="9"/>
    <w:rsid w:val="0000119C"/>
    <w:rPr>
      <w:rFonts w:ascii="Arial" w:hAnsi="Arial" w:cs="Times New Roman"/>
      <w:kern w:val="24"/>
      <w:sz w:val="28"/>
      <w:szCs w:val="20"/>
    </w:rPr>
  </w:style>
  <w:style w:type="character" w:customStyle="1" w:styleId="Heading3Char">
    <w:name w:val="Heading 3 Char"/>
    <w:aliases w:val="Outline3 Char"/>
    <w:basedOn w:val="DefaultParagraphFont"/>
    <w:link w:val="Heading3"/>
    <w:rsid w:val="0000119C"/>
    <w:rPr>
      <w:rFonts w:ascii="Arial" w:hAnsi="Arial" w:cs="Times New Roman"/>
      <w:kern w:val="24"/>
      <w:sz w:val="28"/>
      <w:szCs w:val="20"/>
    </w:rPr>
  </w:style>
  <w:style w:type="paragraph" w:styleId="TOC1">
    <w:name w:val="toc 1"/>
    <w:basedOn w:val="Normal"/>
    <w:next w:val="Normal"/>
    <w:autoRedefine/>
    <w:uiPriority w:val="39"/>
    <w:unhideWhenUsed/>
    <w:rsid w:val="0000119C"/>
    <w:pPr>
      <w:autoSpaceDE/>
      <w:autoSpaceDN/>
      <w:adjustRightInd/>
      <w:spacing w:after="100" w:line="259" w:lineRule="auto"/>
    </w:pPr>
    <w:rPr>
      <w:rFonts w:cs="Times New Roman"/>
      <w:szCs w:val="20"/>
    </w:rPr>
  </w:style>
  <w:style w:type="paragraph" w:styleId="TOC2">
    <w:name w:val="toc 2"/>
    <w:basedOn w:val="Normal"/>
    <w:next w:val="Normal"/>
    <w:autoRedefine/>
    <w:uiPriority w:val="39"/>
    <w:unhideWhenUsed/>
    <w:rsid w:val="0000119C"/>
    <w:pPr>
      <w:autoSpaceDE/>
      <w:autoSpaceDN/>
      <w:adjustRightInd/>
      <w:spacing w:after="100" w:line="259" w:lineRule="auto"/>
      <w:ind w:left="220"/>
    </w:pPr>
    <w:rPr>
      <w:rFonts w:cs="Times New Roman"/>
      <w:szCs w:val="20"/>
    </w:rPr>
  </w:style>
  <w:style w:type="paragraph" w:styleId="Header">
    <w:name w:val="header"/>
    <w:basedOn w:val="Normal"/>
    <w:link w:val="HeaderChar"/>
    <w:uiPriority w:val="99"/>
    <w:unhideWhenUsed/>
    <w:rsid w:val="00A07717"/>
    <w:pPr>
      <w:tabs>
        <w:tab w:val="center" w:pos="4513"/>
        <w:tab w:val="right" w:pos="9026"/>
      </w:tabs>
    </w:pPr>
  </w:style>
  <w:style w:type="character" w:customStyle="1" w:styleId="HeaderChar">
    <w:name w:val="Header Char"/>
    <w:basedOn w:val="DefaultParagraphFont"/>
    <w:link w:val="Header"/>
    <w:uiPriority w:val="99"/>
    <w:rsid w:val="00A07717"/>
    <w:rPr>
      <w:rFonts w:ascii="Arial" w:hAnsi="Arial" w:cs="Arial"/>
      <w:sz w:val="28"/>
      <w:szCs w:val="28"/>
    </w:rPr>
  </w:style>
  <w:style w:type="character" w:styleId="CommentReference">
    <w:name w:val="annotation reference"/>
    <w:basedOn w:val="DefaultParagraphFont"/>
    <w:uiPriority w:val="99"/>
    <w:semiHidden/>
    <w:unhideWhenUsed/>
    <w:rsid w:val="006735DB"/>
    <w:rPr>
      <w:sz w:val="16"/>
      <w:szCs w:val="16"/>
    </w:rPr>
  </w:style>
  <w:style w:type="paragraph" w:styleId="CommentSubject">
    <w:name w:val="annotation subject"/>
    <w:basedOn w:val="CommentText"/>
    <w:next w:val="CommentText"/>
    <w:link w:val="CommentSubjectChar"/>
    <w:uiPriority w:val="99"/>
    <w:semiHidden/>
    <w:unhideWhenUsed/>
    <w:rsid w:val="006735DB"/>
    <w:pPr>
      <w:autoSpaceDE w:val="0"/>
      <w:autoSpaceDN w:val="0"/>
      <w:adjustRightInd w:val="0"/>
      <w:spacing w:line="240" w:lineRule="auto"/>
      <w:jc w:val="left"/>
    </w:pPr>
    <w:rPr>
      <w:rFonts w:eastAsiaTheme="minorHAnsi" w:cs="Arial"/>
      <w:b/>
      <w:bCs/>
    </w:rPr>
  </w:style>
  <w:style w:type="character" w:customStyle="1" w:styleId="CommentSubjectChar">
    <w:name w:val="Comment Subject Char"/>
    <w:basedOn w:val="CommentTextChar"/>
    <w:link w:val="CommentSubject"/>
    <w:uiPriority w:val="99"/>
    <w:semiHidden/>
    <w:rsid w:val="006735D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73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DB"/>
    <w:rPr>
      <w:rFonts w:ascii="Segoe UI" w:hAnsi="Segoe UI" w:cs="Segoe UI"/>
      <w:sz w:val="18"/>
      <w:szCs w:val="18"/>
    </w:rPr>
  </w:style>
  <w:style w:type="paragraph" w:customStyle="1" w:styleId="xxmsonormal">
    <w:name w:val="x_x_msonormal"/>
    <w:basedOn w:val="Normal"/>
    <w:rsid w:val="00F47ACE"/>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F47ACE"/>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732B4A"/>
    <w:pPr>
      <w:spacing w:after="0" w:line="240"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522">
      <w:bodyDiv w:val="1"/>
      <w:marLeft w:val="0"/>
      <w:marRight w:val="0"/>
      <w:marTop w:val="0"/>
      <w:marBottom w:val="0"/>
      <w:divBdr>
        <w:top w:val="none" w:sz="0" w:space="0" w:color="auto"/>
        <w:left w:val="none" w:sz="0" w:space="0" w:color="auto"/>
        <w:bottom w:val="none" w:sz="0" w:space="0" w:color="auto"/>
        <w:right w:val="none" w:sz="0" w:space="0" w:color="auto"/>
      </w:divBdr>
    </w:div>
    <w:div w:id="298848017">
      <w:bodyDiv w:val="1"/>
      <w:marLeft w:val="0"/>
      <w:marRight w:val="0"/>
      <w:marTop w:val="0"/>
      <w:marBottom w:val="0"/>
      <w:divBdr>
        <w:top w:val="none" w:sz="0" w:space="0" w:color="auto"/>
        <w:left w:val="none" w:sz="0" w:space="0" w:color="auto"/>
        <w:bottom w:val="none" w:sz="0" w:space="0" w:color="auto"/>
        <w:right w:val="none" w:sz="0" w:space="0" w:color="auto"/>
      </w:divBdr>
    </w:div>
    <w:div w:id="359554582">
      <w:bodyDiv w:val="1"/>
      <w:marLeft w:val="0"/>
      <w:marRight w:val="0"/>
      <w:marTop w:val="0"/>
      <w:marBottom w:val="0"/>
      <w:divBdr>
        <w:top w:val="none" w:sz="0" w:space="0" w:color="auto"/>
        <w:left w:val="none" w:sz="0" w:space="0" w:color="auto"/>
        <w:bottom w:val="none" w:sz="0" w:space="0" w:color="auto"/>
        <w:right w:val="none" w:sz="0" w:space="0" w:color="auto"/>
      </w:divBdr>
    </w:div>
    <w:div w:id="440607073">
      <w:bodyDiv w:val="1"/>
      <w:marLeft w:val="0"/>
      <w:marRight w:val="0"/>
      <w:marTop w:val="0"/>
      <w:marBottom w:val="0"/>
      <w:divBdr>
        <w:top w:val="none" w:sz="0" w:space="0" w:color="auto"/>
        <w:left w:val="none" w:sz="0" w:space="0" w:color="auto"/>
        <w:bottom w:val="none" w:sz="0" w:space="0" w:color="auto"/>
        <w:right w:val="none" w:sz="0" w:space="0" w:color="auto"/>
      </w:divBdr>
    </w:div>
    <w:div w:id="493837679">
      <w:bodyDiv w:val="1"/>
      <w:marLeft w:val="0"/>
      <w:marRight w:val="0"/>
      <w:marTop w:val="0"/>
      <w:marBottom w:val="0"/>
      <w:divBdr>
        <w:top w:val="none" w:sz="0" w:space="0" w:color="auto"/>
        <w:left w:val="none" w:sz="0" w:space="0" w:color="auto"/>
        <w:bottom w:val="none" w:sz="0" w:space="0" w:color="auto"/>
        <w:right w:val="none" w:sz="0" w:space="0" w:color="auto"/>
      </w:divBdr>
    </w:div>
    <w:div w:id="659624022">
      <w:bodyDiv w:val="1"/>
      <w:marLeft w:val="0"/>
      <w:marRight w:val="0"/>
      <w:marTop w:val="0"/>
      <w:marBottom w:val="0"/>
      <w:divBdr>
        <w:top w:val="none" w:sz="0" w:space="0" w:color="auto"/>
        <w:left w:val="none" w:sz="0" w:space="0" w:color="auto"/>
        <w:bottom w:val="none" w:sz="0" w:space="0" w:color="auto"/>
        <w:right w:val="none" w:sz="0" w:space="0" w:color="auto"/>
      </w:divBdr>
    </w:div>
    <w:div w:id="803693902">
      <w:bodyDiv w:val="1"/>
      <w:marLeft w:val="0"/>
      <w:marRight w:val="0"/>
      <w:marTop w:val="0"/>
      <w:marBottom w:val="0"/>
      <w:divBdr>
        <w:top w:val="none" w:sz="0" w:space="0" w:color="auto"/>
        <w:left w:val="none" w:sz="0" w:space="0" w:color="auto"/>
        <w:bottom w:val="none" w:sz="0" w:space="0" w:color="auto"/>
        <w:right w:val="none" w:sz="0" w:space="0" w:color="auto"/>
      </w:divBdr>
    </w:div>
    <w:div w:id="839655605">
      <w:bodyDiv w:val="1"/>
      <w:marLeft w:val="0"/>
      <w:marRight w:val="0"/>
      <w:marTop w:val="0"/>
      <w:marBottom w:val="0"/>
      <w:divBdr>
        <w:top w:val="none" w:sz="0" w:space="0" w:color="auto"/>
        <w:left w:val="none" w:sz="0" w:space="0" w:color="auto"/>
        <w:bottom w:val="none" w:sz="0" w:space="0" w:color="auto"/>
        <w:right w:val="none" w:sz="0" w:space="0" w:color="auto"/>
      </w:divBdr>
      <w:divsChild>
        <w:div w:id="161999521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73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6020">
      <w:bodyDiv w:val="1"/>
      <w:marLeft w:val="0"/>
      <w:marRight w:val="0"/>
      <w:marTop w:val="0"/>
      <w:marBottom w:val="0"/>
      <w:divBdr>
        <w:top w:val="none" w:sz="0" w:space="0" w:color="auto"/>
        <w:left w:val="none" w:sz="0" w:space="0" w:color="auto"/>
        <w:bottom w:val="none" w:sz="0" w:space="0" w:color="auto"/>
        <w:right w:val="none" w:sz="0" w:space="0" w:color="auto"/>
      </w:divBdr>
    </w:div>
    <w:div w:id="910507243">
      <w:bodyDiv w:val="1"/>
      <w:marLeft w:val="0"/>
      <w:marRight w:val="0"/>
      <w:marTop w:val="0"/>
      <w:marBottom w:val="0"/>
      <w:divBdr>
        <w:top w:val="none" w:sz="0" w:space="0" w:color="auto"/>
        <w:left w:val="none" w:sz="0" w:space="0" w:color="auto"/>
        <w:bottom w:val="none" w:sz="0" w:space="0" w:color="auto"/>
        <w:right w:val="none" w:sz="0" w:space="0" w:color="auto"/>
      </w:divBdr>
    </w:div>
    <w:div w:id="970480091">
      <w:bodyDiv w:val="1"/>
      <w:marLeft w:val="0"/>
      <w:marRight w:val="0"/>
      <w:marTop w:val="0"/>
      <w:marBottom w:val="0"/>
      <w:divBdr>
        <w:top w:val="none" w:sz="0" w:space="0" w:color="auto"/>
        <w:left w:val="none" w:sz="0" w:space="0" w:color="auto"/>
        <w:bottom w:val="none" w:sz="0" w:space="0" w:color="auto"/>
        <w:right w:val="none" w:sz="0" w:space="0" w:color="auto"/>
      </w:divBdr>
    </w:div>
    <w:div w:id="1026639960">
      <w:bodyDiv w:val="1"/>
      <w:marLeft w:val="0"/>
      <w:marRight w:val="0"/>
      <w:marTop w:val="0"/>
      <w:marBottom w:val="0"/>
      <w:divBdr>
        <w:top w:val="none" w:sz="0" w:space="0" w:color="auto"/>
        <w:left w:val="none" w:sz="0" w:space="0" w:color="auto"/>
        <w:bottom w:val="none" w:sz="0" w:space="0" w:color="auto"/>
        <w:right w:val="none" w:sz="0" w:space="0" w:color="auto"/>
      </w:divBdr>
    </w:div>
    <w:div w:id="1068647346">
      <w:bodyDiv w:val="1"/>
      <w:marLeft w:val="0"/>
      <w:marRight w:val="0"/>
      <w:marTop w:val="0"/>
      <w:marBottom w:val="0"/>
      <w:divBdr>
        <w:top w:val="none" w:sz="0" w:space="0" w:color="auto"/>
        <w:left w:val="none" w:sz="0" w:space="0" w:color="auto"/>
        <w:bottom w:val="none" w:sz="0" w:space="0" w:color="auto"/>
        <w:right w:val="none" w:sz="0" w:space="0" w:color="auto"/>
      </w:divBdr>
    </w:div>
    <w:div w:id="1096561216">
      <w:bodyDiv w:val="1"/>
      <w:marLeft w:val="0"/>
      <w:marRight w:val="0"/>
      <w:marTop w:val="0"/>
      <w:marBottom w:val="0"/>
      <w:divBdr>
        <w:top w:val="none" w:sz="0" w:space="0" w:color="auto"/>
        <w:left w:val="none" w:sz="0" w:space="0" w:color="auto"/>
        <w:bottom w:val="none" w:sz="0" w:space="0" w:color="auto"/>
        <w:right w:val="none" w:sz="0" w:space="0" w:color="auto"/>
      </w:divBdr>
    </w:div>
    <w:div w:id="1274939714">
      <w:bodyDiv w:val="1"/>
      <w:marLeft w:val="0"/>
      <w:marRight w:val="0"/>
      <w:marTop w:val="0"/>
      <w:marBottom w:val="0"/>
      <w:divBdr>
        <w:top w:val="none" w:sz="0" w:space="0" w:color="auto"/>
        <w:left w:val="none" w:sz="0" w:space="0" w:color="auto"/>
        <w:bottom w:val="none" w:sz="0" w:space="0" w:color="auto"/>
        <w:right w:val="none" w:sz="0" w:space="0" w:color="auto"/>
      </w:divBdr>
    </w:div>
    <w:div w:id="1361122841">
      <w:bodyDiv w:val="1"/>
      <w:marLeft w:val="0"/>
      <w:marRight w:val="0"/>
      <w:marTop w:val="0"/>
      <w:marBottom w:val="0"/>
      <w:divBdr>
        <w:top w:val="none" w:sz="0" w:space="0" w:color="auto"/>
        <w:left w:val="none" w:sz="0" w:space="0" w:color="auto"/>
        <w:bottom w:val="none" w:sz="0" w:space="0" w:color="auto"/>
        <w:right w:val="none" w:sz="0" w:space="0" w:color="auto"/>
      </w:divBdr>
    </w:div>
    <w:div w:id="1422213670">
      <w:bodyDiv w:val="1"/>
      <w:marLeft w:val="0"/>
      <w:marRight w:val="0"/>
      <w:marTop w:val="0"/>
      <w:marBottom w:val="0"/>
      <w:divBdr>
        <w:top w:val="none" w:sz="0" w:space="0" w:color="auto"/>
        <w:left w:val="none" w:sz="0" w:space="0" w:color="auto"/>
        <w:bottom w:val="none" w:sz="0" w:space="0" w:color="auto"/>
        <w:right w:val="none" w:sz="0" w:space="0" w:color="auto"/>
      </w:divBdr>
    </w:div>
    <w:div w:id="1511413453">
      <w:bodyDiv w:val="1"/>
      <w:marLeft w:val="0"/>
      <w:marRight w:val="0"/>
      <w:marTop w:val="0"/>
      <w:marBottom w:val="0"/>
      <w:divBdr>
        <w:top w:val="none" w:sz="0" w:space="0" w:color="auto"/>
        <w:left w:val="none" w:sz="0" w:space="0" w:color="auto"/>
        <w:bottom w:val="none" w:sz="0" w:space="0" w:color="auto"/>
        <w:right w:val="none" w:sz="0" w:space="0" w:color="auto"/>
      </w:divBdr>
    </w:div>
    <w:div w:id="1529025161">
      <w:bodyDiv w:val="1"/>
      <w:marLeft w:val="0"/>
      <w:marRight w:val="0"/>
      <w:marTop w:val="0"/>
      <w:marBottom w:val="0"/>
      <w:divBdr>
        <w:top w:val="none" w:sz="0" w:space="0" w:color="auto"/>
        <w:left w:val="none" w:sz="0" w:space="0" w:color="auto"/>
        <w:bottom w:val="none" w:sz="0" w:space="0" w:color="auto"/>
        <w:right w:val="none" w:sz="0" w:space="0" w:color="auto"/>
      </w:divBdr>
    </w:div>
    <w:div w:id="1566601950">
      <w:bodyDiv w:val="1"/>
      <w:marLeft w:val="0"/>
      <w:marRight w:val="0"/>
      <w:marTop w:val="0"/>
      <w:marBottom w:val="0"/>
      <w:divBdr>
        <w:top w:val="none" w:sz="0" w:space="0" w:color="auto"/>
        <w:left w:val="none" w:sz="0" w:space="0" w:color="auto"/>
        <w:bottom w:val="none" w:sz="0" w:space="0" w:color="auto"/>
        <w:right w:val="none" w:sz="0" w:space="0" w:color="auto"/>
      </w:divBdr>
    </w:div>
    <w:div w:id="1573664252">
      <w:bodyDiv w:val="1"/>
      <w:marLeft w:val="0"/>
      <w:marRight w:val="0"/>
      <w:marTop w:val="0"/>
      <w:marBottom w:val="0"/>
      <w:divBdr>
        <w:top w:val="none" w:sz="0" w:space="0" w:color="auto"/>
        <w:left w:val="none" w:sz="0" w:space="0" w:color="auto"/>
        <w:bottom w:val="none" w:sz="0" w:space="0" w:color="auto"/>
        <w:right w:val="none" w:sz="0" w:space="0" w:color="auto"/>
      </w:divBdr>
    </w:div>
    <w:div w:id="1669822825">
      <w:bodyDiv w:val="1"/>
      <w:marLeft w:val="0"/>
      <w:marRight w:val="0"/>
      <w:marTop w:val="0"/>
      <w:marBottom w:val="0"/>
      <w:divBdr>
        <w:top w:val="none" w:sz="0" w:space="0" w:color="auto"/>
        <w:left w:val="none" w:sz="0" w:space="0" w:color="auto"/>
        <w:bottom w:val="none" w:sz="0" w:space="0" w:color="auto"/>
        <w:right w:val="none" w:sz="0" w:space="0" w:color="auto"/>
      </w:divBdr>
    </w:div>
    <w:div w:id="1747262863">
      <w:bodyDiv w:val="1"/>
      <w:marLeft w:val="0"/>
      <w:marRight w:val="0"/>
      <w:marTop w:val="0"/>
      <w:marBottom w:val="0"/>
      <w:divBdr>
        <w:top w:val="none" w:sz="0" w:space="0" w:color="auto"/>
        <w:left w:val="none" w:sz="0" w:space="0" w:color="auto"/>
        <w:bottom w:val="none" w:sz="0" w:space="0" w:color="auto"/>
        <w:right w:val="none" w:sz="0" w:space="0" w:color="auto"/>
      </w:divBdr>
    </w:div>
    <w:div w:id="1747804426">
      <w:bodyDiv w:val="1"/>
      <w:marLeft w:val="0"/>
      <w:marRight w:val="0"/>
      <w:marTop w:val="0"/>
      <w:marBottom w:val="0"/>
      <w:divBdr>
        <w:top w:val="none" w:sz="0" w:space="0" w:color="auto"/>
        <w:left w:val="none" w:sz="0" w:space="0" w:color="auto"/>
        <w:bottom w:val="none" w:sz="0" w:space="0" w:color="auto"/>
        <w:right w:val="none" w:sz="0" w:space="0" w:color="auto"/>
      </w:divBdr>
    </w:div>
    <w:div w:id="1867983553">
      <w:bodyDiv w:val="1"/>
      <w:marLeft w:val="0"/>
      <w:marRight w:val="0"/>
      <w:marTop w:val="0"/>
      <w:marBottom w:val="0"/>
      <w:divBdr>
        <w:top w:val="none" w:sz="0" w:space="0" w:color="auto"/>
        <w:left w:val="none" w:sz="0" w:space="0" w:color="auto"/>
        <w:bottom w:val="none" w:sz="0" w:space="0" w:color="auto"/>
        <w:right w:val="none" w:sz="0" w:space="0" w:color="auto"/>
      </w:divBdr>
    </w:div>
    <w:div w:id="1921677698">
      <w:bodyDiv w:val="1"/>
      <w:marLeft w:val="0"/>
      <w:marRight w:val="0"/>
      <w:marTop w:val="0"/>
      <w:marBottom w:val="0"/>
      <w:divBdr>
        <w:top w:val="none" w:sz="0" w:space="0" w:color="auto"/>
        <w:left w:val="none" w:sz="0" w:space="0" w:color="auto"/>
        <w:bottom w:val="none" w:sz="0" w:space="0" w:color="auto"/>
        <w:right w:val="none" w:sz="0" w:space="0" w:color="auto"/>
      </w:divBdr>
    </w:div>
    <w:div w:id="1947616864">
      <w:bodyDiv w:val="1"/>
      <w:marLeft w:val="0"/>
      <w:marRight w:val="0"/>
      <w:marTop w:val="0"/>
      <w:marBottom w:val="0"/>
      <w:divBdr>
        <w:top w:val="none" w:sz="0" w:space="0" w:color="auto"/>
        <w:left w:val="none" w:sz="0" w:space="0" w:color="auto"/>
        <w:bottom w:val="none" w:sz="0" w:space="0" w:color="auto"/>
        <w:right w:val="none" w:sz="0" w:space="0" w:color="auto"/>
      </w:divBdr>
    </w:div>
    <w:div w:id="1961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customXml" Target="/customXML/item6.xml" Id="R191fb62463014534" /></Relationships>
</file>

<file path=word/_rels/footnotes.xml.rels><?xml version="1.0" encoding="UTF-8" standalone="yes"?>
<Relationships xmlns="http://schemas.openxmlformats.org/package/2006/relationships"><Relationship Id="rId8" Type="http://schemas.openxmlformats.org/officeDocument/2006/relationships/hyperlink" Target="https://www.vincyp.scot.nhs.uk/wp-content/uploads/2020/07/2019-2020-NMCN-Annual-Report-VINCYP-V1.pdf" TargetMode="External"/><Relationship Id="rId3" Type="http://schemas.openxmlformats.org/officeDocument/2006/relationships/hyperlink" Target="https://www.gov.scot/binaries/content/documents/govscot/publications/correspondence/2019/12/3-the-scottish-commission-on-social-security-letters-disability-assistance/documents/disability-assistance-for-children-and-young-people-scotland-draft-regulations-2020---7-february-2020/disability-assistance-for-children-and-young-people-scotland-draft-regulations-2020---7-february-2020/govscot%3Adocument/SSDraft-%2BDisability%2BAssistance%2Bfor%2BChildren%2Band%2BYoung%2BPeople%2B%2528Scotland%2529%2BRegulations%2B-%2Bfinal%2Bdraft%2BFeb%2B7%2B2020%2B%2528004%2529%2B%2528003%2529.pdf" TargetMode="External"/><Relationship Id="rId7" Type="http://schemas.openxmlformats.org/officeDocument/2006/relationships/hyperlink" Target="https://www.gov.scot/binaries/content/documents/govscot/publications/correspondence/2020/01/scottish-commission-on-social-security-submissions-disability-assistance/documents/written-submissions-on-the-revised-draft-disability-assistance-for-children-and-young-people-dacyp-regulations-2020/written-submissions-on-the-revised-draft-disability-assistance-for-children-and-young-people-dacyp-regulations-2020/govscot%3Adocument/2020%2BNovember%2B19%2B-%2BWritten%2Bsubs%2Bcollated.pdf" TargetMode="External"/><Relationship Id="rId2" Type="http://schemas.openxmlformats.org/officeDocument/2006/relationships/hyperlink" Target="https://www.gov.scot/binaries/content/documents/govscot/publications/independent-report/2020/03/the-disability-assistance-for-children-and-young-people-scotland-regulations-2020-scrutiny-report-on-draft-regulations/documents/the-disability-assistance-for-children-and-young-people-scotland-regulations-2020-scrutiny-report-on-draft-regulations/the-disability-assistance-for-children-and-young-people-scotland-regulations-2020-scrutiny-report-on-draft-regulations/govscot%3Adocument/FINAL%2BSCoSS%2BReport%2Bon%2Bthe%2Bdraft%2BDACYP%2B%2528S%2529%2BRegs%2B2020.pdf" TargetMode="External"/><Relationship Id="rId1" Type="http://schemas.openxmlformats.org/officeDocument/2006/relationships/hyperlink" Target="https://www.gov.scot/binaries/content/documents/govscot/publications/correspondence/2019/12/3-the-scottish-commission-on-social-security-letters-disability-assistance/documents/further-draft-disability-assistance-for-children-and-young-people-scotland-regulations/further-draft-disability-assistance-for-children-and-young-people-scotland-regulations/govscot%3Adocument/Disability%2BBenefits%2BPolicy%2B-%2BCDP%2B-%2BMinisterial%2Bon%2Bre-referral%2Bto%2BSCoSS%2B-%2BDoc%2B1%2B-%2BOctober%2B2020.pdf" TargetMode="External"/><Relationship Id="rId6" Type="http://schemas.openxmlformats.org/officeDocument/2006/relationships/hyperlink" Target="https://www.gov.scot/publications/charter/" TargetMode="External"/><Relationship Id="rId5" Type="http://schemas.openxmlformats.org/officeDocument/2006/relationships/hyperlink" Target="https://www.gov.scot/binaries/content/documents/govscot/publications/correspondence/2020/01/scottish-commission-on-social-security-submissions-disability-assistance/documents/written-submissions-on-the-revised-draft-disability-assistance-for-children-and-young-people-dacyp-regulations-2020/written-submissions-on-the-revised-draft-disability-assistance-for-children-and-young-people-dacyp-regulations-2020/govscot%3Adocument/2020%2BNovember%2B19%2B-%2BWritten%2Bsubs%2Bcollated.pdf" TargetMode="External"/><Relationship Id="rId10" Type="http://schemas.openxmlformats.org/officeDocument/2006/relationships/hyperlink" Target="https://www.gov.scot/binaries/content/documents/govscot/publications/correspondence/2020/01/scottish-commission-on-social-security-submissions-disability-assistance/documents/written-submissions-on-the-revised-draft-disability-assistance-for-children-and-young-people-dacyp-regulations-2020/written-submissions-on-the-revised-draft-disability-assistance-for-children-and-young-people-dacyp-regulations-2020/govscot%3Adocument/2020%2BNovember%2B19%2B-%2BWritten%2Bsubs%2Bcollated.pdf" TargetMode="External"/><Relationship Id="rId4" Type="http://schemas.openxmlformats.org/officeDocument/2006/relationships/hyperlink" Target="https://www.gov.scot/binaries/content/documents/govscot/publications/correspondence/2019/12/3-the-scottish-commission-on-social-security-letters-disability-assistance/documents/cabinet-secretary-letter-re--disability-assistance-october-2020/cabinet-secretary-letter-re--disability-assistance-october-2020/govscot%3Adocument/Disability%2BBenefits%2BPolicy%2B-%2BCDP%2B-%2BCab%2BSec%2BLetter%2Bto%2BSCoSS%2B-%2BOctober%2B2020.pdf" TargetMode="External"/><Relationship Id="rId9" Type="http://schemas.openxmlformats.org/officeDocument/2006/relationships/hyperlink" Target="https://www.gov.scot/binaries/content/documents/govscot/publications/independent-report/2020/03/the-disability-assistance-for-children-and-young-people-scotland-regulations-2020-scrutiny-report-on-draft-regulations/documents/the-disability-assistance-for-children-and-young-people-scotland-regulations-2020-scrutiny-report-on-draft-regulations/the-disability-assistance-for-children-and-young-people-scotland-regulations-2020-scrutiny-report-on-draft-regulations/govscot%3Adocument/FINAL%2BSCoSS%2BReport%2Bon%2Bthe%2Bdraft%2BDACYP%2B%2528S%2529%2BRegs%2B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A31267651</value>
    </field>
    <field name="Objective-Title">
      <value order="0">2020 December 16 - DACYP scrutiny report</value>
    </field>
    <field name="Objective-Description">
      <value order="0"/>
    </field>
    <field name="Objective-CreationStamp">
      <value order="0">2020-12-16T10:47:17Z</value>
    </field>
    <field name="Objective-IsApproved">
      <value order="0">false</value>
    </field>
    <field name="Objective-IsPublished">
      <value order="0">false</value>
    </field>
    <field name="Objective-DatePublished">
      <value order="0"/>
    </field>
    <field name="Objective-ModificationStamp">
      <value order="0">2020-12-16T12:18:02Z</value>
    </field>
    <field name="Objective-Owner">
      <value order="0">Lodge, Fiona F (U442025)</value>
    </field>
    <field name="Objective-Path">
      <value order="0">Objective Global Folder:Scottish Commission on Social Security File Plan:Work of the Scottish Commission on Social Security:Scottish Commission on Social Security: Disability Assistance for Children and Young People: 2019-2024</value>
    </field>
    <field name="Objective-Parent">
      <value order="0">Scottish Commission on Social Security: Disability Assistance for Children and Young People: 2019-2024</value>
    </field>
    <field name="Objective-State">
      <value order="0">Being Drafted</value>
    </field>
    <field name="Objective-VersionId">
      <value order="0">vA45565766</value>
    </field>
    <field name="Objective-Version">
      <value order="0">0.3</value>
    </field>
    <field name="Objective-VersionNumber">
      <value order="0">3</value>
    </field>
    <field name="Objective-VersionComment">
      <value order="0"/>
    </field>
    <field name="Objective-FileNumber">
      <value order="0">SLEG/2613</value>
    </field>
    <field name="Objective-Classification">
      <value order="0">OFFICIAL</value>
    </field>
    <field name="Objective-Caveats">
      <value order="0">Caveat for access to Scottish Commission on Social Security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437B759D2A44BB091C90B200DF77C" ma:contentTypeVersion="10" ma:contentTypeDescription="Create a new document." ma:contentTypeScope="" ma:versionID="d5c6909ae410a13265637f6074977964">
  <xsd:schema xmlns:xsd="http://www.w3.org/2001/XMLSchema" xmlns:xs="http://www.w3.org/2001/XMLSchema" xmlns:p="http://schemas.microsoft.com/office/2006/metadata/properties" xmlns:ns3="156e9816-fbdd-4d8b-b23b-7727f1edb048" targetNamespace="http://schemas.microsoft.com/office/2006/metadata/properties" ma:root="true" ma:fieldsID="43f25e7f3c41a1d562b35913b8bdb9c4" ns3:_="">
    <xsd:import namespace="156e9816-fbdd-4d8b-b23b-7727f1edb0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e9816-fbdd-4d8b-b23b-7727f1edb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BDF4-FF44-4DB8-A00B-A983D75EF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D320DC-7F14-4907-B69D-4A37A06868E0}">
  <ds:schemaRefs>
    <ds:schemaRef ds:uri="http://schemas.microsoft.com/sharepoint/v3/contenttype/forms"/>
  </ds:schemaRefs>
</ds:datastoreItem>
</file>

<file path=customXml/itemProps3.xml><?xml version="1.0" encoding="utf-8"?>
<ds:datastoreItem xmlns:ds="http://schemas.openxmlformats.org/officeDocument/2006/customXml" ds:itemID="{86570051-8745-4811-8DA8-A338771C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e9816-fbdd-4d8b-b23b-7727f1edb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46A0A-7AE4-4CD0-9E24-62C6A127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Paterson</dc:creator>
  <cp:keywords/>
  <dc:description/>
  <cp:lastModifiedBy>Shevlin T (Terry)</cp:lastModifiedBy>
  <cp:revision>8</cp:revision>
  <dcterms:created xsi:type="dcterms:W3CDTF">2020-12-16T09:35:00Z</dcterms:created>
  <dcterms:modified xsi:type="dcterms:W3CDTF">2020-12-16T12:17:00Z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A31267651</vt:lpwstr>
  </property>
  <property fmtid="{D5CDD505-2E9C-101B-9397-08002B2CF9AE}" pid="4" name="Objective-Title">
    <vt:lpwstr>2020 December 16 - DACYP scrutiny report</vt:lpwstr>
  </property>
  <property fmtid="{D5CDD505-2E9C-101B-9397-08002B2CF9AE}" pid="5" name="Objective-Description">
    <vt:lpwstr/>
  </property>
  <property fmtid="{D5CDD505-2E9C-101B-9397-08002B2CF9AE}" pid="6" name="Objective-CreationStamp">
    <vt:filetime>2020-12-16T10:47:17Z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2020-12-16T12:18:02Z</vt:filetime>
  </property>
  <property fmtid="{D5CDD505-2E9C-101B-9397-08002B2CF9AE}" pid="11" name="Objective-Owner">
    <vt:lpwstr>Lodge, Fiona F (U442025)</vt:lpwstr>
  </property>
  <property fmtid="{D5CDD505-2E9C-101B-9397-08002B2CF9AE}" pid="12" name="Objective-Path">
    <vt:lpwstr>Objective Global Folder:Scottish Commission on Social Security File Plan:Work of the Scottish Commission on Social Security:Scottish Commission on Social Security: Disability Assistance for Children and Young People: 2019-2024:</vt:lpwstr>
  </property>
  <property fmtid="{D5CDD505-2E9C-101B-9397-08002B2CF9AE}" pid="13" name="Objective-Parent">
    <vt:lpwstr>Scottish Commission on Social Security: Disability Assistance for Children and Young People: 2019-2024</vt:lpwstr>
  </property>
  <property fmtid="{D5CDD505-2E9C-101B-9397-08002B2CF9AE}" pid="14" name="Objective-State">
    <vt:lpwstr>Being Drafted</vt:lpwstr>
  </property>
  <property fmtid="{D5CDD505-2E9C-101B-9397-08002B2CF9AE}" pid="15" name="Objective-VersionId">
    <vt:lpwstr>vA45565766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Special groups: Caveat for access to Scottish Commission on Social Security;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0x01010056B437B759D2A44BB091C90B200DF77C</vt:lpwstr>
  </property>
  <property fmtid="{D5CDD505-2E9C-101B-9397-08002B2CF9AE}" pid="29" name="Objective-Comment">
    <vt:lpwstr/>
  </property>
</Properties>
</file>